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-195580</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26670</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9"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18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3519170</wp:posOffset>
            </wp:positionH>
            <wp:positionV relativeFrom="paragraph">
              <wp:posOffset>-5080</wp:posOffset>
            </wp:positionV>
            <wp:extent cx="1609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9090" cy="8890"/>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001-13490</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MIND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-266065</wp:posOffset>
            </wp:positionV>
            <wp:extent cx="3634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141605</wp:posOffset>
            </wp:positionV>
            <wp:extent cx="3634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780" w:type="dxa"/>
            <w:vAlign w:val="bottom"/>
            <w:gridSpan w:val="2"/>
          </w:tcPr>
          <w:p>
            <w:pPr>
              <w:jc w:val="center"/>
              <w:ind w:left="17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spacing w:after="0"/>
              <w:rPr>
                <w:sz w:val="18"/>
                <w:szCs w:val="18"/>
                <w:color w:val="auto"/>
              </w:rPr>
            </w:pPr>
          </w:p>
        </w:tc>
        <w:tc>
          <w:tcPr>
            <w:tcW w:w="31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76-0210849</w:t>
            </w:r>
          </w:p>
        </w:tc>
        <w:tc>
          <w:tcPr>
            <w:tcW w:w="0" w:type="dxa"/>
            <w:vAlign w:val="bottom"/>
          </w:tcPr>
          <w:p>
            <w:pPr>
              <w:spacing w:after="0"/>
              <w:rPr>
                <w:sz w:val="1"/>
                <w:szCs w:val="1"/>
                <w:color w:val="auto"/>
              </w:rPr>
            </w:pPr>
          </w:p>
        </w:tc>
      </w:tr>
      <w:tr>
        <w:trPr>
          <w:trHeight w:val="148"/>
        </w:trPr>
        <w:tc>
          <w:tcPr>
            <w:tcW w:w="3780" w:type="dxa"/>
            <w:vAlign w:val="bottom"/>
            <w:gridSpan w:val="2"/>
          </w:tcPr>
          <w:p>
            <w:pPr>
              <w:jc w:val="center"/>
              <w:ind w:left="17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80" w:type="dxa"/>
            <w:vAlign w:val="bottom"/>
          </w:tcPr>
          <w:p>
            <w:pPr>
              <w:spacing w:after="0"/>
              <w:rPr>
                <w:sz w:val="12"/>
                <w:szCs w:val="12"/>
                <w:color w:val="auto"/>
              </w:rPr>
            </w:pPr>
          </w:p>
        </w:tc>
        <w:tc>
          <w:tcPr>
            <w:tcW w:w="3140" w:type="dxa"/>
            <w:vAlign w:val="bottom"/>
            <w:gridSpan w:val="2"/>
          </w:tcPr>
          <w:p>
            <w:pPr>
              <w:jc w:val="center"/>
              <w:ind w:right="15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80" w:type="dxa"/>
            <w:vAlign w:val="bottom"/>
            <w:gridSpan w:val="2"/>
          </w:tcPr>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2002 Timberloch Place</w:t>
            </w:r>
          </w:p>
        </w:tc>
        <w:tc>
          <w:tcPr>
            <w:tcW w:w="31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Suite 550</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8"/>
              </w:rPr>
              <w:t>The Woodlands, Texas 77380</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80" w:type="dxa"/>
            <w:vAlign w:val="bottom"/>
          </w:tcPr>
          <w:p>
            <w:pPr>
              <w:jc w:val="center"/>
              <w:ind w:right="117"/>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(281) 353-4475</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telephone number, including area code)</w:t>
            </w:r>
          </w:p>
        </w:tc>
        <w:tc>
          <w:tcPr>
            <w:tcW w:w="8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88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rPr>
              <w:t>Trading Symbol(s)</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03"/>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 $0.01 par value per share</w:t>
            </w: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MIND</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Series A Preferred Stock - $1.00 par value per share</w:t>
            </w: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MINDP</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4"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1,405,779 shares of common stock, $0.01 par value, were outstanding as of June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2"/>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60" w:type="dxa"/>
            <w:vAlign w:val="bottom"/>
            <w:gridSpan w:val="12"/>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0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14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April 30, 2024 and January 31, 2024</w:t>
            </w: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April 30, 2024 and 2023</w:t>
            </w:r>
          </w:p>
        </w:tc>
        <w:tc>
          <w:tcPr>
            <w:tcW w:w="1880" w:type="dxa"/>
            <w:vAlign w:val="bottom"/>
            <w:gridSpan w:val="4"/>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Ended April 30, 2024 and 2023</w:t>
            </w:r>
          </w:p>
        </w:tc>
        <w:tc>
          <w:tcPr>
            <w:tcW w:w="4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April 30, 2024 and 2023</w:t>
            </w:r>
          </w:p>
        </w:tc>
        <w:tc>
          <w:tcPr>
            <w:tcW w:w="4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April 30, 2024 and 2023</w:t>
            </w:r>
          </w:p>
        </w:tc>
        <w:tc>
          <w:tcPr>
            <w:tcW w:w="1180" w:type="dxa"/>
            <w:vAlign w:val="bottom"/>
            <w:gridSpan w:val="2"/>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260" w:type="dxa"/>
            <w:vAlign w:val="bottom"/>
            <w:gridSpan w:val="9"/>
          </w:tcPr>
          <w:p>
            <w:pPr>
              <w:spacing w:after="0"/>
              <w:rPr>
                <w:sz w:val="17"/>
                <w:szCs w:val="17"/>
                <w:color w:val="auto"/>
              </w:rPr>
            </w:pPr>
          </w:p>
        </w:tc>
        <w:tc>
          <w:tcPr>
            <w:tcW w:w="1180" w:type="dxa"/>
            <w:vAlign w:val="bottom"/>
            <w:gridSpan w:val="2"/>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about Forward-Looking Statements</w:t>
            </w: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2"/>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4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2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5"/>
          </w:tcPr>
          <w:p>
            <w:pPr>
              <w:spacing w:after="0"/>
              <w:rPr>
                <w:sz w:val="24"/>
                <w:szCs w:val="24"/>
                <w:color w:val="auto"/>
              </w:rPr>
            </w:pPr>
          </w:p>
        </w:tc>
        <w:tc>
          <w:tcPr>
            <w:tcW w:w="3600" w:type="dxa"/>
            <w:vAlign w:val="bottom"/>
            <w:gridSpan w:val="7"/>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24"/>
                <w:szCs w:val="24"/>
                <w:color w:val="auto"/>
              </w:rPr>
            </w:pPr>
          </w:p>
        </w:tc>
        <w:tc>
          <w:tcPr>
            <w:tcW w:w="824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24"/>
                <w:szCs w:val="24"/>
                <w:color w:val="auto"/>
              </w:rPr>
            </w:pPr>
          </w:p>
        </w:tc>
        <w:tc>
          <w:tcPr>
            <w:tcW w:w="522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80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24"/>
                <w:szCs w:val="24"/>
                <w:color w:val="auto"/>
              </w:rPr>
            </w:pPr>
          </w:p>
        </w:tc>
        <w:tc>
          <w:tcPr>
            <w:tcW w:w="8260" w:type="dxa"/>
            <w:vAlign w:val="bottom"/>
            <w:gridSpan w:val="18"/>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412"/>
        </w:trPr>
        <w:tc>
          <w:tcPr>
            <w:tcW w:w="1040" w:type="dxa"/>
            <w:vAlign w:val="bottom"/>
          </w:tcPr>
          <w:p>
            <w:pPr>
              <w:spacing w:after="0"/>
              <w:rPr>
                <w:sz w:val="24"/>
                <w:szCs w:val="24"/>
                <w:color w:val="auto"/>
              </w:rPr>
            </w:pPr>
          </w:p>
        </w:tc>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8580" w:type="dxa"/>
            <w:vAlign w:val="bottom"/>
            <w:gridSpan w:val="19"/>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412"/>
        </w:trPr>
        <w:tc>
          <w:tcPr>
            <w:tcW w:w="1040" w:type="dxa"/>
            <w:vAlign w:val="bottom"/>
          </w:tcPr>
          <w:p>
            <w:pPr>
              <w:spacing w:after="0"/>
              <w:rPr>
                <w:sz w:val="24"/>
                <w:szCs w:val="24"/>
                <w:color w:val="auto"/>
              </w:rPr>
            </w:pPr>
          </w:p>
        </w:tc>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r>
      <w:tr>
        <w:trPr>
          <w:trHeight w:val="453"/>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8"/>
          </w:tcPr>
          <w:p>
            <w:pPr>
              <w:jc w:val="center"/>
              <w:ind w:right="4740"/>
              <w:spacing w:after="0"/>
              <w:rPr>
                <w:sz w:val="20"/>
                <w:szCs w:val="20"/>
                <w:color w:val="auto"/>
              </w:rPr>
            </w:pPr>
            <w:r>
              <w:rPr>
                <w:rFonts w:ascii="Times New Roman" w:cs="Times New Roman" w:eastAsia="Times New Roman" w:hAnsi="Times New Roman"/>
                <w:sz w:val="18"/>
                <w:szCs w:val="18"/>
                <w:color w:val="auto"/>
                <w:w w:val="99"/>
              </w:rPr>
              <w:t>ii</w:t>
            </w:r>
          </w:p>
        </w:tc>
        <w:tc>
          <w:tcPr>
            <w:tcW w:w="4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Pr>
          <w:p>
            <w:pPr>
              <w:spacing w:after="0"/>
              <w:rPr>
                <w:sz w:val="24"/>
                <w:szCs w:val="24"/>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January 31, 2024</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5,289</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$332 at each of April 30, 2024 and January</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31, 2024</w:t>
            </w: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w:t>
            </w:r>
          </w:p>
        </w:tc>
      </w:tr>
      <w:tr>
        <w:trPr>
          <w:trHeight w:val="23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03"/>
        </w:trPr>
        <w:tc>
          <w:tcPr>
            <w:tcW w:w="8000" w:type="dxa"/>
            <w:vAlign w:val="bottom"/>
            <w:gridSpan w:val="2"/>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34,863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33,491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left="17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$1.00 par value; 2,000 shares authorized; 1,683 shares issued and outstanding at each of</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April 30, 2024 and January 31, 2024</w:t>
            </w: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37,779</w:t>
            </w: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 shares authorized; 1,406 shares issued at April 30, 2024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January 31, 2024</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113,121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(127,353)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(128,307)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22,641</w:t>
            </w: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10,597</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6,061</w:t>
            </w:r>
          </w:p>
        </w:tc>
      </w:tr>
      <w:tr>
        <w:trPr>
          <w:trHeight w:val="209"/>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 - declared</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dividends - undeclared</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common share - Basic and Diluted</w:t>
            </w: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50"/>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 used in computing net income (loss) per common share:</w:t>
            </w: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50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0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0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09"/>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1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8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Unbilled revenue</w:t>
            </w: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(2,788)</w:t>
            </w: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09"/>
        </w:trPr>
        <w:tc>
          <w:tcPr>
            <w:tcW w:w="8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 of other equipment</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8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proceeds from short-term loan</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 on cash and cash equivalents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0"/>
        </w:trPr>
        <w:tc>
          <w:tcPr>
            <w:tcW w:w="2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19"/>
              <w:spacing w:after="0" w:line="181" w:lineRule="exact"/>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5"/>
        </w:trPr>
        <w:tc>
          <w:tcPr>
            <w:tcW w:w="23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January 31, 2024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1,406</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113,121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(128,307</w:t>
            </w: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22,641</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w:t>
            </w:r>
          </w:p>
        </w:tc>
      </w:tr>
      <w:tr>
        <w:trPr>
          <w:trHeight w:val="203"/>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19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April 30, 2024</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1,406</w:t>
            </w:r>
          </w:p>
        </w:tc>
        <w:tc>
          <w:tcPr>
            <w:tcW w:w="5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113,169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(127,353</w:t>
            </w: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23,643</w:t>
            </w: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13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7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As</w:t>
            </w:r>
          </w:p>
        </w:tc>
        <w:tc>
          <w:tcPr>
            <w:tcW w:w="880" w:type="dxa"/>
            <w:vAlign w:val="bottom"/>
            <w:gridSpan w:val="3"/>
          </w:tcPr>
          <w:p>
            <w:pPr>
              <w:jc w:val="right"/>
              <w:ind w:right="99"/>
              <w:spacing w:after="0" w:line="182" w:lineRule="exact"/>
              <w:rPr>
                <w:sz w:val="20"/>
                <w:szCs w:val="20"/>
                <w:color w:val="auto"/>
              </w:rPr>
            </w:pPr>
            <w:r>
              <w:rPr>
                <w:rFonts w:ascii="Times New Roman" w:cs="Times New Roman" w:eastAsia="Times New Roman" w:hAnsi="Times New Roman"/>
                <w:sz w:val="16"/>
                <w:szCs w:val="16"/>
                <w:color w:val="auto"/>
              </w:rPr>
              <w:t>See Note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adjusted</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January 31, 2023</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1,599</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129,721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(16,863)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(127,635)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23,052</w:t>
            </w:r>
          </w:p>
        </w:tc>
        <w:tc>
          <w:tcPr>
            <w:tcW w:w="0" w:type="dxa"/>
            <w:vAlign w:val="bottom"/>
          </w:tcPr>
          <w:p>
            <w:pPr>
              <w:spacing w:after="0"/>
              <w:rPr>
                <w:sz w:val="1"/>
                <w:szCs w:val="1"/>
                <w:color w:val="auto"/>
              </w:rPr>
            </w:pP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April 30, 2023</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1,599</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129,771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(16,863)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(127,875)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22,862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Liquidity and Summary of Significant Accounting Policies</w:t>
      </w:r>
    </w:p>
    <w:p>
      <w:pPr>
        <w:spacing w:after="0" w:line="227"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—MIND Technology, Inc., a Delaware corporation (the “Company”), was incorporated in 1987. The Company, through its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subsidiaries, Seamap Pte Ltd, MIND Maritime Acoustics, LLC, Seamap (Malaysia) Sdn Bhd and Seamap (UK) Ltd, collectively “Seamap”, designs, manufactures and sells a broad range of proprietary products for the seismic, hydrographic and offshore industries with product sales and support facilities based in Singapore, Malaysia, the United Kingdom and the state of Texas. Prior to August 21, 2023, the Company, through its wholly owned subsidiary Klein Marine Systems, Inc. (“Klein”), designed, manufactured and sold a broad range of proprietary products for the seismic, hydrographic and offshore industries from its facility in the state of New Hampshire. Effective August 21, 2023, the Company sold Klein and retrospectively presented its prior periods financial results reported as discontinued operations (see Note 2 – “Sale of a Subsidiary” for additional details).</w:t>
      </w:r>
    </w:p>
    <w:p>
      <w:pPr>
        <w:spacing w:after="0" w:line="183"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—As of April 30, 2024, the Company had working capital of approximately $19.3 million, including cash and cash equivalents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$924,000, compared to working capital of approximately $18.1 million, including cash and cash equivalents of approximately $5.3 million as of January 31, 2024. The Company does not have a credit facility in place and depends on cash on hand and cash flows from operations to satisfy its liquidity needs. However, the Company believes it will have adequate liquidity to meet its future operating requirements through a combination of cash on hand, cash expected to be generated from operations, disciplined working capital management, potential financing secured by company owned real property, and potentially securing a credit facility or some other form of financing.</w:t>
      </w:r>
    </w:p>
    <w:p>
      <w:pPr>
        <w:spacing w:after="0" w:line="182" w:lineRule="exact"/>
        <w:rPr>
          <w:sz w:val="20"/>
          <w:szCs w:val="20"/>
          <w:color w:val="auto"/>
        </w:rPr>
      </w:pPr>
    </w:p>
    <w:p>
      <w:pPr>
        <w:ind w:right="18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—We describe our significant accounting policies in Note</w:t>
      </w:r>
      <w:r>
        <w:rPr>
          <w:rFonts w:ascii="Times New Roman" w:cs="Times New Roman" w:eastAsia="Times New Roman" w:hAnsi="Times New Roman"/>
          <w:sz w:val="18"/>
          <w:szCs w:val="18"/>
          <w:i w:val="1"/>
          <w:iCs w:val="1"/>
          <w:color w:val="auto"/>
        </w:rPr>
        <w:t xml:space="preserve"> 1 </w:t>
      </w:r>
      <w:r>
        <w:rPr>
          <w:rFonts w:ascii="Times New Roman" w:cs="Times New Roman" w:eastAsia="Times New Roman" w:hAnsi="Times New Roman"/>
          <w:sz w:val="18"/>
          <w:szCs w:val="18"/>
          <w:color w:val="auto"/>
        </w:rPr>
        <w:t>of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in our Annual Report on Form 10-K for the fiscal year ended January 31, 2024. During the three months ended </w:t>
      </w:r>
      <w:r>
        <w:rPr>
          <w:rFonts w:ascii="Times New Roman" w:cs="Times New Roman" w:eastAsia="Times New Roman" w:hAnsi="Times New Roman"/>
          <w:sz w:val="18"/>
          <w:szCs w:val="18"/>
          <w:i w:val="1"/>
          <w:iCs w:val="1"/>
          <w:color w:val="auto"/>
        </w:rPr>
        <w:t>April 30, 2024</w:t>
      </w:r>
      <w:r>
        <w:rPr>
          <w:rFonts w:ascii="Times New Roman" w:cs="Times New Roman" w:eastAsia="Times New Roman" w:hAnsi="Times New Roman"/>
          <w:sz w:val="18"/>
          <w:szCs w:val="18"/>
          <w:color w:val="auto"/>
        </w:rPr>
        <w:t xml:space="preserve">, there were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changes to those accounting policies.</w:t>
      </w:r>
    </w:p>
    <w:p>
      <w:pPr>
        <w:spacing w:after="0" w:line="3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F-9</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of Subsidiary</w:t>
      </w:r>
    </w:p>
    <w:p>
      <w:pPr>
        <w:spacing w:after="0" w:line="229" w:lineRule="exact"/>
        <w:rPr>
          <w:sz w:val="20"/>
          <w:szCs w:val="20"/>
          <w:color w:val="auto"/>
        </w:rPr>
      </w:pPr>
    </w:p>
    <w:p>
      <w:pPr>
        <w:ind w:firstLine="414"/>
        <w:spacing w:after="0" w:line="256" w:lineRule="auto"/>
        <w:rPr>
          <w:sz w:val="20"/>
          <w:szCs w:val="20"/>
          <w:color w:val="auto"/>
        </w:rPr>
      </w:pPr>
      <w:r>
        <w:rPr>
          <w:rFonts w:ascii="Times New Roman" w:cs="Times New Roman" w:eastAsia="Times New Roman" w:hAnsi="Times New Roman"/>
          <w:sz w:val="18"/>
          <w:szCs w:val="18"/>
          <w:color w:val="auto"/>
        </w:rPr>
        <w:t>On August 21, 2023, the Company sold Klein pursuant to a Stock Purchase Agreement (the “SPA”) with General Oceans AS (“the Buyer"). In connection with the SPA, the Company granted the Buyer a license to its Spectral Ai software suite (“Spectral Ai”). The license is exclusive to the Buyer as it relates to side scan sonar. The Company and the Buyer also entered into a collaboration agreement for the further development of Spectral Ai and potentially other software projects. The foregoing transactions contemplated by the SPA are referred to as the “Sale of Klein”. The aggregate consideration to the Company consisted of a cash payment of $11.5 million, resulting in a gain of approximately $2.3 million. The SPA contained customary representation and warranties.</w:t>
      </w:r>
    </w:p>
    <w:p>
      <w:pPr>
        <w:spacing w:after="0" w:line="187" w:lineRule="exact"/>
        <w:rPr>
          <w:sz w:val="20"/>
          <w:szCs w:val="20"/>
          <w:color w:val="auto"/>
        </w:rPr>
      </w:pPr>
    </w:p>
    <w:p>
      <w:pPr>
        <w:ind w:right="300" w:firstLine="414"/>
        <w:spacing w:after="0" w:line="266" w:lineRule="auto"/>
        <w:rPr>
          <w:sz w:val="20"/>
          <w:szCs w:val="20"/>
          <w:color w:val="auto"/>
        </w:rPr>
      </w:pPr>
      <w:r>
        <w:rPr>
          <w:rFonts w:ascii="Times New Roman" w:cs="Times New Roman" w:eastAsia="Times New Roman" w:hAnsi="Times New Roman"/>
          <w:sz w:val="18"/>
          <w:szCs w:val="18"/>
          <w:color w:val="auto"/>
        </w:rPr>
        <w:t>On August 22, 2023, following the closing of the Sale of Klein, all outstanding amounts due and owed, including principal, interest, and other charges, under the Loan (as defined below) were repaid in full and the Loan was terminated, and all liens and security interests granted thereunder were released and terminated (see Note 10 - "Notes Payable" for additional details).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Basis of Presentation</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2024, for the Company has been derived from audited consolidated financial statements. The unaudited interim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These condensed consolidated financial statements should be read in conjunction with the consolidated financial statements and the related notes included in the Company’s Annual Report on Form 10-K for the year ended January 31, 2024 (“fiscal 2024”). In the opinion of the Company’s management, all adjustments, consisting only of normal recurring adjustments, necessary to present fairly the financial position as of April 30, 2024, the results of operations for the three months ended April 30, 2024 and 2023, the cash flows for the three months ended April 30, 2024 and 2023, and the statement of stockholders’ equity for the three-months ended April 30, 2024 and 2023, have been included in these condensed consolidated financial statements. The foregoing interim results are not necessarily indicative of the results of operations to be expected for the full fiscal year ending January 31, 2025 (“fiscal 2025”).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On August 21, 2023, the Company sold Klein pursuant to the SPA with the Buyer. As a result, its results of operations are reported as discontinued operations for the three-month period ended April 30, 2023.</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operations from discontinued operations for the three months ended April 30, 2023 consist of the following:</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0" w:type="dxa"/>
            <w:vAlign w:val="bottom"/>
          </w:tcPr>
          <w:p>
            <w:pPr>
              <w:spacing w:after="0"/>
              <w:rPr>
                <w:sz w:val="1"/>
                <w:szCs w:val="1"/>
                <w:color w:val="auto"/>
              </w:rPr>
            </w:pPr>
          </w:p>
        </w:tc>
      </w:tr>
      <w:tr>
        <w:trPr>
          <w:trHeight w:val="21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discontinued operations</w:t>
            </w:r>
          </w:p>
        </w:tc>
        <w:tc>
          <w:tcPr>
            <w:tcW w:w="10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0"/>
        </w:trPr>
        <w:tc>
          <w:tcPr>
            <w:tcW w:w="7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operations</w:t>
            </w:r>
          </w:p>
        </w:tc>
        <w:tc>
          <w:tcPr>
            <w:tcW w:w="10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 from discontinued operations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9"/>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operating and investing noncash items and capital expenditures related to discontinued operations are summarized below:</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9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r>
      <w:tr>
        <w:trPr>
          <w:trHeight w:val="238"/>
        </w:trPr>
        <w:tc>
          <w:tcPr>
            <w:tcW w:w="6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Borders>
              <w:bottom w:val="single" w:sz="8" w:color="auto"/>
            </w:tcBorders>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thousands)</w:t>
            </w:r>
          </w:p>
        </w:tc>
        <w:tc>
          <w:tcPr>
            <w:tcW w:w="96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New Accounting Pronouncements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2023-7"), to enhance the disclosures public entities provide regarding significant segment expenses so that investors can better understand an entity’s overall performance and assess potential future cash flows. ASU 2023-07 is effective four our annual periods beginning February 1, 2024 and interim periods within fiscal years beginning February 1, 2025. The Company is evaluating the impacts of adoption.</w:t>
      </w:r>
    </w:p>
    <w:p>
      <w:pPr>
        <w:spacing w:after="0" w:line="183"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seeks to improve transparency of income tax disclosures by requiring consistent categories and greater disaggregation of information in the rate reconciliation and income taxes paid disclosures. The updated guidance is effective for the Company on February 1, 2025. The Company is currently evaluating the new guidance to determine the impact it will have on the disclosures to its consolidated financial statements.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from Contracts with Customers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recognized at a point in time: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10,512</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over time:</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9,678</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revenue from products manufactured and sold by our Seamap business is generally recognized at a point in time, or when the customer takes possession of the product, based on the terms and conditions stipulated in our contracts with customers. However, from time to time our Seamap business provides repair and maintenance services, or performs upgrades, on customer owned equipment in which case revenue is recognized over time. In addition, our Seamap business provides annual Software Maintenance Agreements (“SMA”) to customers who have an active license for software embedded in Seamap products. The revenue from SMA is recognized over time, with the total value of the SMA recognized in equal monthly amounts over the life of the contract.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geography, based on the shipping location of our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4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Asia-Pacific</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10,597</w:t>
            </w:r>
          </w:p>
        </w:tc>
        <w:tc>
          <w:tcPr>
            <w:tcW w:w="0" w:type="dxa"/>
            <w:vAlign w:val="bottom"/>
          </w:tcPr>
          <w:p>
            <w:pPr>
              <w:spacing w:after="0"/>
              <w:rPr>
                <w:sz w:val="1"/>
                <w:szCs w:val="1"/>
                <w:color w:val="auto"/>
              </w:rPr>
            </w:pPr>
          </w:p>
        </w:tc>
      </w:tr>
      <w:tr>
        <w:trPr>
          <w:trHeight w:val="413"/>
        </w:trPr>
        <w:tc>
          <w:tcPr>
            <w:tcW w:w="89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As of April 30, 2024, and January 31, 2024, contract assets and liabilities consisted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100" w:type="dxa"/>
            <w:vAlign w:val="bottom"/>
          </w:tcPr>
          <w:p>
            <w:pPr>
              <w:spacing w:after="0"/>
              <w:rPr>
                <w:sz w:val="24"/>
                <w:szCs w:val="24"/>
                <w:color w:val="auto"/>
              </w:rPr>
            </w:pP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revenue - current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unbilled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 w:type="dxa"/>
            <w:vAlign w:val="bottom"/>
          </w:tcPr>
          <w:p>
            <w:pPr>
              <w:spacing w:after="0"/>
              <w:rPr>
                <w:sz w:val="17"/>
                <w:szCs w:val="17"/>
                <w:color w:val="auto"/>
              </w:rPr>
            </w:pPr>
          </w:p>
        </w:tc>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Contract Liabilities: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&amp; customer deposits - current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revenue &amp; customer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Considering the products manufactured and sold by our Seamap business and the Company’s standard contract terms and conditions, we expect the Company's contract assets and liabilities to turn over, on average, within a period of three to nine months.</w:t>
      </w:r>
    </w:p>
    <w:p>
      <w:pPr>
        <w:spacing w:after="0" w:line="162" w:lineRule="exact"/>
        <w:rPr>
          <w:sz w:val="20"/>
          <w:szCs w:val="20"/>
          <w:color w:val="auto"/>
        </w:rPr>
      </w:pPr>
    </w:p>
    <w:p>
      <w:pPr>
        <w:jc w:val="both"/>
        <w:ind w:right="220" w:firstLine="450"/>
        <w:spacing w:after="0" w:line="266" w:lineRule="auto"/>
        <w:rPr>
          <w:sz w:val="20"/>
          <w:szCs w:val="20"/>
          <w:color w:val="auto"/>
        </w:rPr>
      </w:pPr>
      <w:r>
        <w:rPr>
          <w:rFonts w:ascii="Times New Roman" w:cs="Times New Roman" w:eastAsia="Times New Roman" w:hAnsi="Times New Roman"/>
          <w:sz w:val="18"/>
          <w:szCs w:val="18"/>
          <w:color w:val="auto"/>
        </w:rPr>
        <w:t>With respect to the disclosures above, sales and transaction-based taxes are excluded from revenue, and we do not disclose the value of unsatisfied performance obligations for contracts with an original expected duration of one year or less. Also, we expense costs incurred to obtain contracts because the amortization period would be one year or less. These costs are recorded in selling, general and administrative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7. Balance Sheet</w:t>
            </w:r>
          </w:p>
        </w:tc>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10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2024</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9,949</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10"/>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inventories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allowance for obsolescence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49"/>
        </w:trPr>
        <w:tc>
          <w:tcPr>
            <w:tcW w:w="84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16,161</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r>
      <w:tr>
        <w:trPr>
          <w:trHeight w:val="413"/>
        </w:trPr>
        <w:tc>
          <w:tcPr>
            <w:tcW w:w="840" w:type="dxa"/>
            <w:vAlign w:val="bottom"/>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16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100" w:type="dxa"/>
            <w:vAlign w:val="bottom"/>
            <w:tcBorders>
              <w:top w:val="single" w:sz="8" w:color="CCEEFF"/>
            </w:tcBorders>
          </w:tcPr>
          <w:p>
            <w:pPr>
              <w:spacing w:after="0"/>
              <w:rPr>
                <w:sz w:val="24"/>
                <w:szCs w:val="24"/>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2024</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8,923</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Autos and trucks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840" w:type="dxa"/>
            <w:vAlign w:val="bottom"/>
          </w:tcPr>
          <w:p>
            <w:pPr>
              <w:spacing w:after="0"/>
              <w:rPr>
                <w:sz w:val="18"/>
                <w:szCs w:val="18"/>
                <w:color w:val="auto"/>
              </w:rPr>
            </w:pPr>
          </w:p>
        </w:tc>
        <w:tc>
          <w:tcPr>
            <w:tcW w:w="6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Land and buildings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0"/>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property and equipment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w:t>
            </w: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As of January 31, 2024, the Company completed an annual review of property and equipment noting no indications that the recorded value of assets may not be recoverable, and no impairment was recorded for fiscal 2024. Since January 31, 2024, there have been no changes to the market, economic or legal environment in which the Company operates or overall performance of the Company, that would, in the aggregate, indicate additional impairment analysis is necessary as of April 30,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right="220" w:firstLine="414"/>
        <w:spacing w:after="0" w:line="282" w:lineRule="auto"/>
        <w:rPr>
          <w:sz w:val="20"/>
          <w:szCs w:val="20"/>
          <w:color w:val="auto"/>
        </w:rPr>
      </w:pPr>
      <w:r>
        <w:rPr>
          <w:rFonts w:ascii="Times New Roman" w:cs="Times New Roman" w:eastAsia="Times New Roman" w:hAnsi="Times New Roman"/>
          <w:sz w:val="18"/>
          <w:szCs w:val="18"/>
          <w:color w:val="auto"/>
        </w:rPr>
        <w:t>The Company has certain non-cancelable operating lease agreements for office, production and warehouse space in Texas, Singapore, Malaysia, and the United Kingdom.</w:t>
      </w:r>
    </w:p>
    <w:p>
      <w:pPr>
        <w:spacing w:after="0" w:line="162" w:lineRule="exact"/>
        <w:rPr>
          <w:sz w:val="20"/>
          <w:szCs w:val="20"/>
          <w:color w:val="auto"/>
        </w:rPr>
      </w:pPr>
    </w:p>
    <w:p>
      <w:pPr>
        <w:ind w:right="180" w:firstLine="486"/>
        <w:spacing w:after="0" w:line="289" w:lineRule="auto"/>
        <w:rPr>
          <w:sz w:val="20"/>
          <w:szCs w:val="20"/>
          <w:color w:val="auto"/>
        </w:rPr>
      </w:pPr>
      <w:r>
        <w:rPr>
          <w:rFonts w:ascii="Times New Roman" w:cs="Times New Roman" w:eastAsia="Times New Roman" w:hAnsi="Times New Roman"/>
          <w:sz w:val="17"/>
          <w:szCs w:val="17"/>
          <w:color w:val="auto"/>
        </w:rPr>
        <w:t>Lease expense for the three months ended April 30, 2024 was approximately $207,000, respectively, and during the three months ended April 30, 2023 was approximately $221,000, respectively, and was recorded as a component of operating income (loss). Included in these costs was short-term lease expense of approximately$1,000 for the three months ended April 30, 2024, and during the three months ended April 30, 2023 was approximately$2,000.</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April 30, 2024 and January 31, 2024 was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7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Lease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2024</w:t>
            </w:r>
          </w:p>
        </w:tc>
      </w:tr>
      <w:tr>
        <w:trPr>
          <w:trHeight w:val="209"/>
        </w:trPr>
        <w:tc>
          <w:tcPr>
            <w:tcW w:w="16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1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Pr>
          <w:p>
            <w:pPr>
              <w:spacing w:after="0"/>
              <w:rPr>
                <w:sz w:val="18"/>
                <w:szCs w:val="18"/>
                <w:color w:val="auto"/>
              </w:rPr>
            </w:pPr>
          </w:p>
        </w:tc>
        <w:tc>
          <w:tcPr>
            <w:tcW w:w="8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16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 of lease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160" w:type="dxa"/>
            <w:vAlign w:val="bottom"/>
          </w:tcPr>
          <w:p>
            <w:pPr>
              <w:spacing w:after="0"/>
              <w:rPr>
                <w:sz w:val="18"/>
                <w:szCs w:val="18"/>
                <w:color w:val="auto"/>
              </w:rPr>
            </w:pPr>
          </w:p>
        </w:tc>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r>
      <w:tr>
        <w:trPr>
          <w:trHeight w:val="250"/>
        </w:trPr>
        <w:tc>
          <w:tcPr>
            <w:tcW w:w="160" w:type="dxa"/>
            <w:vAlign w:val="bottom"/>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413"/>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Lease-term and discount rate details as of April 30, 2024 and January 31, 2024 were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2024</w:t>
            </w:r>
          </w:p>
        </w:tc>
      </w:tr>
      <w:tr>
        <w:trPr>
          <w:trHeight w:val="210"/>
        </w:trPr>
        <w:tc>
          <w:tcPr>
            <w:tcW w:w="16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6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incremental borrowing rate was calculated using the Company's weighted average cost of capital.</w:t>
      </w:r>
    </w:p>
    <w:p>
      <w:pPr>
        <w:sectPr>
          <w:pgSz w:w="11900" w:h="16838" w:orient="portrait"/>
          <w:cols w:equalWidth="0" w:num="1">
            <w:col w:w="11320"/>
          </w:cols>
          <w:pgMar w:left="320" w:top="108" w:right="259" w:bottom="1440" w:gutter="0" w:footer="0" w:header="0"/>
        </w:sect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08" w:right="2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8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1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gridSpan w:val="3"/>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Changes in lease balances resulting from new and modified leases: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432"/>
        </w:trPr>
        <w:tc>
          <w:tcPr>
            <w:tcW w:w="548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at April 30, 2024 were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Borders>
              <w:top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under lease agreements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00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Life at</w:t>
            </w: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6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rights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(4,852)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15,447</w:t>
            </w:r>
          </w:p>
        </w:tc>
        <w:tc>
          <w:tcPr>
            <w:tcW w:w="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15,457</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On January 31, 2024, the Company completed an annual review of amortizable intangible assets. Based on a review of qualitative factors, it was determined that there were no events or changes in circumstances indicating that the carrying value of amortizable intangible assets was not recoverable. During the three months ended April 30, 2024, there have been no substantive indicators of impairment.</w:t>
      </w:r>
    </w:p>
    <w:p>
      <w:pPr>
        <w:spacing w:after="0" w:line="176"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Aggregate amortization expense was $185,000 and $224,000 for the three months ended April 30, 2024 and 2023, respectively. As of April 30, 2024, future estimated amortization expense related to amortizable intangible assets was estimated to be:</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fiscal years ending January 31,</w:t>
            </w:r>
          </w:p>
        </w:tc>
        <w:tc>
          <w:tcPr>
            <w:tcW w:w="1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50"/>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Notes Payable</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On February 2, 2023, we entered into a $3.75 million Loan and Security Agreement (“the Loan”). The Company incurred approximately $814,000 of debt acquisition costs associated with the loan including approximately $254,000 in origination and other transaction fees and approximately $484,000 of prepaid interest, which is the interest due through maturity. These costs were recorded as a reduction to the carrying value of our debt and amortized to interest expense straight-line over the term of the Loan. Approximately $204,000 of amortization of debt acquisition costs were recorded as interest expense for the three months ended April 30, 2023. On August 22, 2023, in connection with the Sale of Klein, the Loan was repaid in full (see Note 2-"Sale of Subsidiary" for additional details).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For the three-month period ended April 30, 2024, the income tax expense from continuing operations was approximately $ 245,000, on pre-tax income from continuing operations of approximately $1.2 million. For the three- month period ended April 30, 2023, the income tax expense from continuing operations was approximately $ 411,000, on pre-tax income from continuing operations of $ 287,000. The variance between our actual provision and the expected provision when applying the U.S. statutory rate of 21% is due primarily to the impact of income taxes accrued in certain foreign jurisdictions, mainly Singapore, which do not have net operating losses available to offset taxable income, and because valuation allowances have been recorded against increases in our deferred tax assets. Valuation allowances have been provided against all deferred tax assets in the United States and several foreign jurisdictions.</w:t>
      </w:r>
    </w:p>
    <w:p>
      <w:pPr>
        <w:spacing w:after="0" w:line="189"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as well as separate returns for its foreign subsidiaries within their local jurisdictions. The Company's U.S. federal tax returns are subject to examination by the Internal Revenue Service for fiscal years ended January 31, 2019 through 2024. The Company’s tax returns may also be subject to examination by state and local tax authorities for fiscal years ending January 31, 2017 through 2024. The Company's Singapore income tax returns are subject to examination by the Singapore tax authorities for the fiscal years ended January 31, 2017, through 2024. The Company’s tax returns in other foreign jurisdictions are generally subject to examination for the fiscal years ended January 31, 2018 through 2024.</w:t>
      </w:r>
    </w:p>
    <w:p>
      <w:pPr>
        <w:spacing w:after="0" w:line="187" w:lineRule="exact"/>
        <w:rPr>
          <w:sz w:val="20"/>
          <w:szCs w:val="20"/>
          <w:color w:val="auto"/>
        </w:rPr>
      </w:pPr>
    </w:p>
    <w:p>
      <w:pPr>
        <w:ind w:right="280" w:firstLine="45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undistributed earnings of foreign subsidiaries are not deemed to be indefinitely reinvested outside of the United States as of April 30, 2024. Furthermore, the Company has concluded that any deferred taxes with respect to the undistributed foreign earnings would be immaterial. Therefore, the Company has not recorded a deferred tax liability associated with the undistributed foreign earnings as of April 30, 2024.</w:t>
      </w:r>
    </w:p>
    <w:p>
      <w:pPr>
        <w:spacing w:after="0" w:line="180" w:lineRule="exact"/>
        <w:rPr>
          <w:sz w:val="20"/>
          <w:szCs w:val="20"/>
          <w:color w:val="auto"/>
        </w:rPr>
      </w:pPr>
    </w:p>
    <w:p>
      <w:pPr>
        <w:ind w:right="560" w:firstLine="45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April 30, 2024 and 2023, the Company did not recognize any tax expense or benefit related to uncertain tax positions.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Net income per basic common share is computed using the weighted average number of common shares outstanding during the period, excluding unvested restricted stock. Net income per diluted common share is computed using the weighted average number of common shares and dilutive potential common shares outstanding during the period using the treasury stock method. Potential common shares result from the assumed exercise of outstanding common stock options having a dilutive effect and from the assumed vesting of unvested shares of restricted stock. For the three months ended April 30, 2024 and April 30, 2023, dilutive potential common shares outstanding were immaterial and had no effect on the calculation of earnings per share because shares were anti-dilutive. The total basic weighted average common shares outstanding for the three months ended April 30, 2024 and April 30,2023, was approximately 1.4 million shares.</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October 12, 2023, the Company filed with the Secretary of State of the State of Delaware a Certificate of Amendment to its Charter (the “Charter Amendment”) to effect a one-for-ten reverse stock split (the “Reverse Stock Split”). Prior periods shares have been restated to reflect the impact of the Reverse Stock Split in calculating earnings per share (see Note 14- "Equity and Stock Based Compensation " for additional details).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w:t>
      </w:r>
    </w:p>
    <w:p>
      <w:pPr>
        <w:spacing w:after="0" w:line="229" w:lineRule="exact"/>
        <w:rPr>
          <w:sz w:val="20"/>
          <w:szCs w:val="20"/>
          <w:color w:val="auto"/>
        </w:rPr>
      </w:pPr>
    </w:p>
    <w:p>
      <w:pPr>
        <w:ind w:right="60" w:firstLine="495"/>
        <w:spacing w:after="0" w:line="261" w:lineRule="auto"/>
        <w:rPr>
          <w:sz w:val="20"/>
          <w:szCs w:val="20"/>
          <w:color w:val="auto"/>
        </w:rPr>
      </w:pPr>
      <w:r>
        <w:rPr>
          <w:rFonts w:ascii="Times New Roman" w:cs="Times New Roman" w:eastAsia="Times New Roman" w:hAnsi="Times New Roman"/>
          <w:sz w:val="18"/>
          <w:szCs w:val="18"/>
          <w:color w:val="auto"/>
        </w:rPr>
        <w:t>Ladenburg Thalmann &amp; Co. Inc. (“Ladenburg”) provided advisor and arrangement services for the Loan (See Note 10 - "Notes Payable" for additional details) and received $75,000 in fees for such services. Additionally, Ladenburg provided advisory services related to the Sale of Klein and received fees of $405,000 for such services. The former Co-Chief Executive Officer and Co-President of Ladenburg is the Non-Executive Chairman of our Board. Our Non-Executive Chairman of the Board received no portion of the above-mentioned compensation.</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and Stock-Based Compensation</w:t>
      </w:r>
    </w:p>
    <w:p>
      <w:pPr>
        <w:spacing w:after="0" w:line="229"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As of April 30, 2024, there are approximately 1,683,000 shares of Preferred Stock outstanding with an aggregate liquidation preference of approximately $48.7 million, which amount includes approximately $6.6 million in undeclared cumulative dividends. Holders of our Preferred Stock are entitled to receive, when and as declared by the Board out of funds of the Company available for the payment of distributions, quarterly cumulative preferential cash dividends of $0.5625 per share of the $25.00 per share stated liquidation preference on our Preferred Stock. Dividends on the Preferred Stock are payable quarterly in arrears, on April 30, July 31, October 31, and January 31, of each year.</w:t>
      </w:r>
    </w:p>
    <w:p>
      <w:pPr>
        <w:spacing w:after="0" w:line="18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On September 28, 2023, the Board approved the Reverse Stock Split at a ratio of one-for-ten. On October 12, 2023, the Company filed with the Secretary of State of the State of Delaware a Certificate of Amendment to its Charter Amendment to effect the Reverse Stock Split. The Charter Amendment became effective on October 13, 2023.</w:t>
      </w:r>
    </w:p>
    <w:p>
      <w:pPr>
        <w:spacing w:after="0" w:line="17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 result of the Charter Amendment and Reverse Stock Split, every ten shares of issued and outstanding Common Stock were combined into one issued and outstanding share of Common Stock, without any change in par value per share. Proportionate adjustments were also made to any outstanding securities or rights convertible into, or exchangeable or exercisable for, shares of Common Stock. Fractional shares were not issued in connection with the Reverse Stock Split. Stockholders who would otherwise be entitled to receive a fractional share were entitled to receive one full share of post-Reverse Stock Split Common Stock, in lieu of receiving such fractional shares. The Reverse Stock Split affected all stockholders uniformly and did not alter any stockholder’s relative interest in the Company’s equity securities. The Reverse Stock Split reduced the number of shares of issued and outstanding Common Stock from approximately 13,788,738 shares to approximately 1,405,779 shares. Common stock and treasury stock shares have been retroactively adjusted to reflect the Reverse Stock Split in all periods presented. In connection with the reverse stock split, the Company retired all treasury stock.</w:t>
      </w:r>
    </w:p>
    <w:p>
      <w:pPr>
        <w:spacing w:after="0" w:line="188" w:lineRule="exact"/>
        <w:rPr>
          <w:sz w:val="20"/>
          <w:szCs w:val="20"/>
          <w:color w:val="auto"/>
        </w:rPr>
      </w:pPr>
    </w:p>
    <w:p>
      <w:pPr>
        <w:ind w:right="700" w:firstLine="450"/>
        <w:spacing w:after="0" w:line="312" w:lineRule="auto"/>
        <w:rPr>
          <w:sz w:val="20"/>
          <w:szCs w:val="20"/>
          <w:color w:val="auto"/>
        </w:rPr>
      </w:pPr>
      <w:r>
        <w:rPr>
          <w:rFonts w:ascii="Times New Roman" w:cs="Times New Roman" w:eastAsia="Times New Roman" w:hAnsi="Times New Roman"/>
          <w:sz w:val="17"/>
          <w:szCs w:val="17"/>
          <w:color w:val="auto"/>
        </w:rPr>
        <w:t>Total compensation expense recognized for stock-based awards granted under the Company’s equity incentive plan during the three-month period ended April 30, 2024 was approximately $ 48,000, and during the three-month period ended April 30, 2023, was approximately $50,000.</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Prior to August 22, 2023, the Company operated in two segments, Seamap and Klein. On August 21, 2023, the Company completed the Sale of Klein. (see Note 2-"Sale of Subsidiary" for additional details). As a result, at April 30, 2024, Seamap is the Company’s sole operating segment.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ABOUT FORWARD-LOOKING STATEMENTS</w:t>
      </w:r>
    </w:p>
    <w:p>
      <w:pPr>
        <w:spacing w:after="0" w:line="22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“Form 10-Q”) may constitute “forward-looking statements” within the meaning of the Private Securities Litigation Reform Act of 1995. All statements contained in this Form 10-Q other than statements of historical fact, including statements regarding our future results of operations and financial position, our business strategy and plans, and our objectives for future operations, are forward-looking statements. The words “believe,” “expect,” “may,” “will,” “anticipate,” “plan,” “intend,” “foresee,” “should,” “would,” “could” or other similar expressions are intended to identify forward-looking statements, which are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460" w:right="340" w:hanging="331"/>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manufacturing operations including availability and reliability of materials and components as well the reliability of the products that we manufacture and sell;</w:t>
      </w: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customers;</w:t>
      </w:r>
    </w:p>
    <w:p>
      <w:pPr>
        <w:spacing w:after="0" w:line="9" w:lineRule="exact"/>
        <w:rPr>
          <w:rFonts w:ascii="Times New Roman" w:cs="Times New Roman" w:eastAsia="Times New Roman" w:hAnsi="Times New Roman"/>
          <w:sz w:val="18"/>
          <w:szCs w:val="18"/>
          <w:color w:val="auto"/>
        </w:rPr>
      </w:pPr>
    </w:p>
    <w:p>
      <w:pPr>
        <w:ind w:left="460" w:right="4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in global supply chains due to various factors, including certain components and materials becoming unavailable, increased lead times for components and materials, as well as increased costs for such items;</w:t>
      </w:r>
    </w:p>
    <w:p>
      <w:pPr>
        <w:ind w:left="46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from suppliers for advance payments could increase our need for working capital; inability to access such working capital could impede our ability to complete orders;</w:t>
      </w: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suppliers;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claims by third parties;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uncertainty in financial markets on our customers’ and our ability to obtain financing;</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strategic initiatives to grow our business;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our foreign operations, including political, economic, currency, environmental regulation and export compliance risks;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that can adversely affect our business;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due to circumstances beyond our control or that of our customers;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customers on amounts due to us;</w:t>
      </w:r>
    </w:p>
    <w:p>
      <w:pPr>
        <w:spacing w:after="0" w:line="9" w:lineRule="exact"/>
        <w:rPr>
          <w:rFonts w:ascii="Times New Roman" w:cs="Times New Roman" w:eastAsia="Times New Roman" w:hAnsi="Times New Roman"/>
          <w:sz w:val="18"/>
          <w:szCs w:val="18"/>
          <w:color w:val="auto"/>
        </w:rPr>
      </w:pPr>
    </w:p>
    <w:p>
      <w:pPr>
        <w:ind w:left="460" w:right="40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further impairment of our long-lived assets due to technological obsolescence or changes in anticipated cash flow generated from those assets;</w:t>
      </w: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funding or to obtain funding under acceptable terms;</w:t>
      </w:r>
    </w:p>
    <w:p>
      <w:pPr>
        <w:spacing w:after="0" w:line="9" w:lineRule="exact"/>
        <w:rPr>
          <w:rFonts w:ascii="Times New Roman" w:cs="Times New Roman" w:eastAsia="Times New Roman" w:hAnsi="Times New Roman"/>
          <w:sz w:val="18"/>
          <w:szCs w:val="18"/>
          <w:color w:val="auto"/>
        </w:rPr>
      </w:pPr>
    </w:p>
    <w:p>
      <w:pPr>
        <w:ind w:left="460" w:right="28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spending, including efforts by the U.S. and other governments to decrease spending for defense contracts, or as a result of U.S. or other administration transition;</w:t>
      </w:r>
    </w:p>
    <w:p>
      <w:pPr>
        <w:ind w:left="460" w:right="40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U.S. Congress and other U.S. government bodies to reduce U.S. government spending and address budgetary constraints and the U.S. deficit, as well as associated uncertainty around the timing, extent, nature and effect of such efforts;</w:t>
      </w:r>
    </w:p>
    <w:p>
      <w:pPr>
        <w:ind w:left="460" w:right="52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seismic data, which is dependent on the level of spending by oil and gas companies for exploration, production and development activities, and may potentially negatively impact the value of our assets held for sale;</w:t>
      </w: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price volatility in the global economy could negatively impact our business and results of operations;</w:t>
      </w:r>
    </w:p>
    <w:p>
      <w:pPr>
        <w:spacing w:after="0" w:line="9" w:lineRule="exact"/>
        <w:rPr>
          <w:rFonts w:ascii="Times New Roman" w:cs="Times New Roman" w:eastAsia="Times New Roman" w:hAnsi="Times New Roman"/>
          <w:sz w:val="18"/>
          <w:szCs w:val="18"/>
          <w:color w:val="auto"/>
        </w:rPr>
      </w:pPr>
    </w:p>
    <w:p>
      <w:pPr>
        <w:ind w:left="460" w:right="580" w:hanging="331"/>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future geopolitical events, which we cannot predict but which may adversely affect the markets in which we operate, our operations, or our results of operations; and</w:t>
      </w:r>
    </w:p>
    <w:p>
      <w:pPr>
        <w:ind w:left="460" w:hanging="331"/>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to our business from security threats, including cybersecurity threats, and other disruptions.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additional information regarding known material factors that could cause our actual results to differ materially from our projected results, please see</w:t>
      </w:r>
    </w:p>
    <w:p>
      <w:pPr>
        <w:spacing w:after="0" w:line="29" w:lineRule="exact"/>
        <w:rPr>
          <w:sz w:val="20"/>
          <w:szCs w:val="20"/>
          <w:color w:val="auto"/>
        </w:rPr>
      </w:pPr>
    </w:p>
    <w:p>
      <w:pPr>
        <w:ind w:right="260" w:firstLine="8"/>
        <w:spacing w:after="0" w:line="260" w:lineRule="auto"/>
        <w:tabs>
          <w:tab w:leader="none" w:pos="2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Form 10-Q, (2) 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January 31, 2024, and (3)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other filings filed with the SEC from time to time.</w:t>
      </w:r>
    </w:p>
    <w:p>
      <w:pPr>
        <w:spacing w:after="0" w:line="17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There may be other factors of which the Company is not currently aware that may affect matters discussed in the forward-looking statements and may also cause actual results to differ materially from those discussed. Readers are cautioned not to place undue reliance on forward-looking statements, which speak only as of the date hereof. We undertake no obligation to publicly update or revise any forward-looking statement after the date they are made, whether as the result of new information, future events or otherwise, except as required by law. All forward-looking statements included herein are expressly qualified in their entirety by the cautionary statements contained or referred to in this section.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On August 21, 2023, the Company completed the Sale of Klein (see Note 2-"Sale of Subsidiary" in the accompanying financial statements for additional details). Effective with the Sale of Klein, we operate in one segment, Seamap. Seamap designs, produces and sells seismic exploration and survey equipment. Its customers include foreign and domestic commercial marine survey companies and various governmental institutions.</w:t>
      </w:r>
    </w:p>
    <w:p>
      <w:pPr>
        <w:spacing w:after="0" w:line="17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Management believes that the performance of our Seamap business is indicated by revenues from sales of products and by gross profit from those sales. Management monitors EBITDA and Adjusted EBITDA, both as defined and reconciled to the most directly comparable financial measures calculated and presented in accordance with United States generally accepted accounting principles (“GAAP”), in the following table, as key indicators of our overall performance and liquidity.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 from continuing operations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(1)</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depreciation and amortization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 (1)</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Cash Used in Operating Activities to EBITDA</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 (current and long-term)</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of refunds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inventory</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 and deferred revenue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and long-term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(1)</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580" w:hanging="329"/>
        <w:spacing w:after="0" w:line="25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other non-cash tax related items and non-cash costs of lease pool equipment sales.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variety of products used primarily in seismic and marine survey industries. Seamap’s primary products include (i) the GunLink seismic source acquisition and control systems; (ii) the BuoyLink RGPS tracking system used to provide precise positioning of seismic sources and streamers (marine recording channels that are towed behind a vessel) and (iii) SeaLink marine sensors and solid streamer systems (collectively, the “SeaLink” product line or “towed streamer products”). These towed streamer products are primarily designed for three-dimensional, high-resolution marine surveys in marine survey applications.</w:t>
      </w:r>
    </w:p>
    <w:p>
      <w:pPr>
        <w:spacing w:after="0" w:line="183" w:lineRule="exact"/>
        <w:rPr>
          <w:sz w:val="20"/>
          <w:szCs w:val="20"/>
          <w:color w:val="auto"/>
        </w:rPr>
      </w:pPr>
    </w:p>
    <w:p>
      <w:pPr>
        <w:jc w:val="both"/>
        <w:ind w:right="560" w:firstLine="450"/>
        <w:spacing w:after="0" w:line="266" w:lineRule="auto"/>
        <w:rPr>
          <w:sz w:val="20"/>
          <w:szCs w:val="20"/>
          <w:color w:val="auto"/>
        </w:rPr>
      </w:pPr>
      <w:r>
        <w:rPr>
          <w:rFonts w:ascii="Times New Roman" w:cs="Times New Roman" w:eastAsia="Times New Roman" w:hAnsi="Times New Roman"/>
          <w:sz w:val="18"/>
          <w:szCs w:val="18"/>
          <w:color w:val="auto"/>
        </w:rPr>
        <w:t>Our results of operations can experience fluctuations in activity levels due to a number of factors outside of our control. These factors include budgetary or financial concerns, supply chain issues, labor or political issues, inclement weather, and global pandemics. See Part II, Item 1A- “Risk Factors.”</w:t>
      </w:r>
    </w:p>
    <w:p>
      <w:pPr>
        <w:spacing w:after="0" w:line="3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Outlook</w:t>
      </w:r>
    </w:p>
    <w:p>
      <w:pPr>
        <w:spacing w:after="0" w:line="229" w:lineRule="exact"/>
        <w:rPr>
          <w:sz w:val="20"/>
          <w:szCs w:val="20"/>
          <w:color w:val="auto"/>
        </w:rPr>
      </w:pPr>
    </w:p>
    <w:p>
      <w:pPr>
        <w:jc w:val="both"/>
        <w:ind w:right="420" w:firstLine="414"/>
        <w:spacing w:after="0" w:line="266" w:lineRule="auto"/>
        <w:rPr>
          <w:sz w:val="20"/>
          <w:szCs w:val="20"/>
          <w:color w:val="auto"/>
        </w:rPr>
      </w:pPr>
      <w:r>
        <w:rPr>
          <w:rFonts w:ascii="Times New Roman" w:cs="Times New Roman" w:eastAsia="Times New Roman" w:hAnsi="Times New Roman"/>
          <w:sz w:val="18"/>
          <w:szCs w:val="18"/>
          <w:color w:val="auto"/>
        </w:rPr>
        <w:t>Our financial performance has improved significantly in recent periods. Although we have a history of operating losses, we generated positive operating income from continuing operations in fiscal 2024 and the first quarter of fiscal 2025. We believe this is due to increased demand within our primary markets and efforts to reduce costs and improve product margins.</w:t>
      </w:r>
    </w:p>
    <w:p>
      <w:pPr>
        <w:spacing w:after="0" w:line="176" w:lineRule="exact"/>
        <w:rPr>
          <w:sz w:val="20"/>
          <w:szCs w:val="20"/>
          <w:color w:val="auto"/>
        </w:rPr>
      </w:pPr>
    </w:p>
    <w:p>
      <w:pPr>
        <w:ind w:firstLine="414"/>
        <w:spacing w:after="0" w:line="256" w:lineRule="auto"/>
        <w:rPr>
          <w:sz w:val="20"/>
          <w:szCs w:val="20"/>
          <w:color w:val="auto"/>
        </w:rPr>
      </w:pPr>
      <w:r>
        <w:rPr>
          <w:rFonts w:ascii="Times New Roman" w:cs="Times New Roman" w:eastAsia="Times New Roman" w:hAnsi="Times New Roman"/>
          <w:sz w:val="18"/>
          <w:szCs w:val="18"/>
          <w:color w:val="auto"/>
        </w:rPr>
        <w:t>On August 21, 2023, we completed the Sale of Klein for cash consideration of $11.5 million. In addition, in connection with the Sale of Klein, the Company granted the Buyer a license in its Spectral Ai software suite, exclusive to the Buyer as it relates to side scan sonar. The Company and the Buyer also entered into a collaboration agreement for the further development of Spectral Ai and potentially other software projects. The license and collaboration agreements provide opportunities for recurring licensing revenue and recovery of certain ongoing operating costs. We believe the Sale of Klein serves to streamline the Company’s operations and provides needed working capital to address the financial requirements associated with the continuing growth of our Seamap business.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experienced increased inquiries and bid activity for our marine technology products. As of April 30, 2024, our backlog of firm orders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approximately $31.0 million, as compared to approximately $38.4 million as of January 31, 2024, and $18.1 million as of April 30, 2023.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essentially all of our current backlog will be completed and shipped by the end of fiscal 2025. We believe that these firm orders provide good visibility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balance of this fiscal year and into the next year. However, the level of backlog at a particular point in time may not necessarily be indicative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 subsequent periods as the size and delivery period of individual orders can vary significantly.</w:t>
      </w:r>
    </w:p>
    <w:p>
      <w:pPr>
        <w:spacing w:after="0" w:line="207" w:lineRule="exact"/>
        <w:rPr>
          <w:sz w:val="20"/>
          <w:szCs w:val="20"/>
          <w:color w:val="auto"/>
        </w:rPr>
      </w:pPr>
    </w:p>
    <w:p>
      <w:pPr>
        <w:ind w:right="260" w:firstLine="414"/>
        <w:spacing w:after="0" w:line="266" w:lineRule="auto"/>
        <w:rPr>
          <w:sz w:val="20"/>
          <w:szCs w:val="20"/>
          <w:color w:val="auto"/>
        </w:rPr>
      </w:pPr>
      <w:r>
        <w:rPr>
          <w:rFonts w:ascii="Times New Roman" w:cs="Times New Roman" w:eastAsia="Times New Roman" w:hAnsi="Times New Roman"/>
          <w:sz w:val="18"/>
          <w:szCs w:val="18"/>
          <w:color w:val="auto"/>
        </w:rPr>
        <w:t>Our revenues tend to fluctuate from quarter to quarter due to delivery schedules and other factors. We currently expect revenue in the fiscal year ending January 31, 2025 to exceed that of fiscal 2024. However, no assurances of such results can be made, and there are a number of risks which could cause results to be less than anticipated. Those risks include the following:</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customers to accept delivery of orders as scheduled;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orders;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including supply chain disruptions, which could delay the completion of orders as scheduled;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orders not being received as expected;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delays beyond our control.</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our Seamap business we address the following primary markets: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Survey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Exploration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see a number of opportunities to add to our technology and to apply existing technology and products to new applications.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We also continue to pursue initiatives to further expand our product offerings. These initiatives include new internally developed technology, introduction of new products based on our existing technology, technology obtained through partnering arrangements with others and a combination of all of these. There can be no assurance that any of these initiatives will ultimately have a material impact on our financial position or results of operations. Certain business opportunities that we are pursuing are with military or other governmental organizations. The sales cycle for these projects can be quite long and can be impacted by a variety of factors, including the level of competition and budget limitations. Therefore, the timing of contract awards is often difficult to predict. However, once awarded, programs of this type can extend for many years. To date, the majority of our revenues have been from commercial customers.</w:t>
      </w:r>
    </w:p>
    <w:p>
      <w:pPr>
        <w:spacing w:after="0" w:line="189" w:lineRule="exact"/>
        <w:rPr>
          <w:sz w:val="20"/>
          <w:szCs w:val="20"/>
          <w:color w:val="auto"/>
        </w:rPr>
      </w:pPr>
    </w:p>
    <w:p>
      <w:pPr>
        <w:ind w:right="800" w:firstLine="450"/>
        <w:spacing w:after="0" w:line="282" w:lineRule="auto"/>
        <w:rPr>
          <w:sz w:val="20"/>
          <w:szCs w:val="20"/>
          <w:color w:val="auto"/>
        </w:rPr>
      </w:pPr>
      <w:r>
        <w:rPr>
          <w:rFonts w:ascii="Times New Roman" w:cs="Times New Roman" w:eastAsia="Times New Roman" w:hAnsi="Times New Roman"/>
          <w:sz w:val="18"/>
          <w:szCs w:val="18"/>
          <w:color w:val="auto"/>
        </w:rPr>
        <w:t>We believe there are certain developments within the marine technology industry that can have a significant impact on our business. These developments include the following:</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economical, commercially developed, technology for maritime security applications; and</w:t>
      </w:r>
    </w:p>
    <w:p>
      <w:pPr>
        <w:spacing w:after="0" w:line="252"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activity within the marine exploration space, including applications for alternative energy projects such as offshore windfarms and carbon capture projects.</w:t>
      </w:r>
    </w:p>
    <w:p>
      <w:pPr>
        <w:spacing w:after="0" w:line="162" w:lineRule="exact"/>
        <w:rPr>
          <w:sz w:val="20"/>
          <w:szCs w:val="20"/>
          <w:color w:val="auto"/>
        </w:rPr>
      </w:pPr>
    </w:p>
    <w:p>
      <w:pPr>
        <w:ind w:right="400" w:firstLine="450"/>
        <w:spacing w:after="0" w:line="282" w:lineRule="auto"/>
        <w:rPr>
          <w:sz w:val="20"/>
          <w:szCs w:val="20"/>
          <w:color w:val="auto"/>
        </w:rPr>
      </w:pPr>
      <w:r>
        <w:rPr>
          <w:rFonts w:ascii="Times New Roman" w:cs="Times New Roman" w:eastAsia="Times New Roman" w:hAnsi="Times New Roman"/>
          <w:sz w:val="18"/>
          <w:szCs w:val="18"/>
          <w:color w:val="auto"/>
        </w:rPr>
        <w:t>In response to these, and other, developments we have prioritized certain strategic initiatives to exploit the opportunities that we perceive. These initiatives include the following:</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our Spectral Ai software suite technology to side scan sonar systems and potentially other sensor systems;</w:t>
      </w:r>
    </w:p>
    <w:p>
      <w:pPr>
        <w:spacing w:after="0" w:line="252"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Adaptation of our SeaLink solid streamer technology to alternative applications, such as hydrographic surveys for windfarm and carbon capture projects; and</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our SeaLink solid streamer technology to passive sonar arrays for use in maritime security applications, such as domain awareness and anti-submarine warfare.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above applications expand our addressable markets and provide opportunities for further growth in our revenues.</w:t>
      </w:r>
    </w:p>
    <w:p>
      <w:pPr>
        <w:spacing w:after="0" w:line="225"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In fiscal 2024, we eliminated two executive management positions and certain other administrative positions in order to further control general and administrative costs. The Sale of Klein has allowed us to further streamline our operations and may provide opportunities to further reduce overhead costs. Should future financial results fall below our expectation, we may take further steps to reduce costs. We believe many of our costs are variable in nature, such as raw materials and labor-related costs. Accordingly, we believe we can reduce such costs commensurate with any declines in our business.</w:t>
      </w:r>
    </w:p>
    <w:p>
      <w:pPr>
        <w:spacing w:after="0" w:line="180"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General inflation levels have increased recently due in part to supply chain issues, increased energy costs and geopolitical uncertainty. In addition, shortages of certain components, such as electronic components, have caused prices for available components to increase in some cases. These factors can be expected to have a negative impact on our costs; however, the magnitude of such impact cannot be accurately determined.</w:t>
      </w:r>
    </w:p>
    <w:p>
      <w:pPr>
        <w:spacing w:after="0" w:line="176"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Our revenues and results of operations have not been materially impacted by inflation or changing prices in the past two fiscal years, except as described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April 30, 2024 were approximately $9.7 million, compared to approximately $10.6 million for the three months ended April 30, 2023 The decrease in the first three months of fiscal 2025 compared to the prior year period was primarily due to timing of completion of projects. For the three months ended April 30, 2024, we generated operating income of approximately $730,000, compared to operating income of approximately $419,000 for the three months ended April 30, 2023. The increase in operating income in the current three month periods was primarily attributable to decreased selling, general and administrative costs during the three months ended April 30, 2024. A more detailed explanation of these variations follows.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5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Sales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7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Revenues and cost of sales for our Marine Technology Products business were as follows: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640" w:type="dxa"/>
            <w:vAlign w:val="bottom"/>
            <w:gridSpan w:val="4"/>
          </w:tcPr>
          <w:p>
            <w:pPr>
              <w:jc w:val="center"/>
              <w:ind w:left="43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68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Seamap</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9,678</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10,597</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Seamap</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6,061</w:t>
            </w:r>
          </w:p>
        </w:tc>
      </w:tr>
      <w:tr>
        <w:trPr>
          <w:trHeight w:val="249"/>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4,218</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4,536</w:t>
            </w:r>
          </w:p>
        </w:tc>
      </w:tr>
      <w:tr>
        <w:trPr>
          <w:trHeight w:val="219"/>
        </w:trPr>
        <w:tc>
          <w:tcPr>
            <w:tcW w:w="7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75"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18"/>
          <w:szCs w:val="18"/>
          <w:color w:val="auto"/>
        </w:rPr>
        <w:t>A significant portion of Seamap’s sales consist of large discrete orders, the timing of which is dictated by our customers. This timing generally relates to the availability of a vessel in port so that our products can be installed. Accordingly, there can be significant variation in sales from one period to another, which does not necessarily indicate a fundamental change in demand for these products. Revenue from the sale of Seamap products was approximately $9.7 million for the three-month period ended April 30, 2024, compared to revenue of approximately $10.6 million for three-month period ended April 30, 2023. The gross profit and gross profit margins remained consistent for Seamap and were approximately $4.2 million and 44% and approximately $4.5 million and 43% in the three-month periods ended April 30, 2024 and 2023, respectively. The gross profit margin in the first quarter of fiscal 2025 improved from the comparable period in the prior fiscal year, despite lower revenues, due to price increases implemented in fiscal 2024 and increased production efficiencies. The increased production efficiencies were due primarily to production and procurement efficiencies facilitated by increased order backlog.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April 30, 2024, were approximately $2.8 million, compared to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million for the three months ended April 30, 2023. The decrease from the prior periods is primarily the result of lower compensation expense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headcount reductions, and the impact of broader cost control measures.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costs were approximately $462,000 in the three-month period ended April 30, 2024,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$478,000 in the three-month period ended April 30, 2023, respectively. Costs in each of the periods are related primarily to our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generation towed streamer system and ongoing development of our Spectral Ai software suite.</w:t>
      </w:r>
    </w:p>
    <w:p>
      <w:pPr>
        <w:spacing w:after="0" w:line="207"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which includes depreciation of equipment, furniture and fixtures and the amortization of intangible assets, decreased primarily attributable to assets becoming fully depreciated and amortized over the year. These costs were approximately $267,000 in the three - month period ended April 30, 2024, as compared to approximately $333,000 in the three-month period ended April 30, 2023.</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of approximately $204,000 in the three months ended April 30, 2023, was primarily due to interest on the Loan. The Loan was repaid in fiscal 2024 in connection with the sale of Klein (see note 10-"Notes Payable" and Note 2-"Sale of Subsidiary" for additional details).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expense primarily relates to gains on the sale of certain ancillary equipment, scrap sales and other income.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For the three-months ended April 30, 2024, we reported tax expense of approximately $245,000 on pre-tax income from continuing operations of approximately $1.2 million. For the three-month period ended April 30, 2023, our income tax expense was approximately $411,000 on pre-tax Income from continuing operations of approximately $287,000. These amounts differed from the result expected when applying the U.S. statutory rate of 21% to our income or loss from continuing operations before income taxes for the respective periods due primarily to the impact of income taxes accrued in certain foreign jurisdictions, primarily in Singapore, which do not have net operating losses available to offset taxable income, and because valuation allowances have been recorded against increases in our deferred tax assets. Valuation allowances have been provided against all deferred tax assets in the United States and several foreign jurisdictions.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has a history of generating operating losses and negative cash from operating activities and has relied on cash from the sale of lease pool equipment and the sale of Preferred Stock and Common Stock for the past several years. However, the Company’s operating results improved significantly in fiscal 2024 as compared to fiscal 2023 and prior years, generating net income from operations and positive Adjusted EBITDA for the fiscal year ended January 31, 2024 and the three months ended April 30, 2024. In addition, the Company sold its Klein business on August 21, 2023, generating net proceeds of approximately $7.3 million after settlement of closing cost and all outstanding amounts due and owed, including principal, interest, and other charges, on the Company’s $3.75 million loan. The sale of Klein increased the Company’s working capital and improved its liquidity situation.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30, 2024, the Company had working capital of approximately $19.3 million, including cash and cash equivalents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$924,000, compared to working capital of approximately $18.1 million, including cash and cash equivalents of approximately $5.3 million, as of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The Company does not have a credit facility in place and depends on cash on hand, cash flows from operations, and potential sales of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pool equipment to satisfy its liquidity needs.</w:t>
      </w:r>
    </w:p>
    <w:p>
      <w:pPr>
        <w:spacing w:after="0" w:line="207"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it will have adequate liquidity to meet its future operating requirements through a combination of cash on hand, cash expected to be generated from operations, potential financing secured by company owned real property, disciplined working capital commitments, and potentially securing a credit facility or some other form of financing.</w:t>
      </w:r>
    </w:p>
    <w:p>
      <w:pPr>
        <w:spacing w:after="0" w:line="176"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8"/>
          <w:szCs w:val="18"/>
          <w:color w:val="auto"/>
        </w:rPr>
        <w:t>In addition, management believes there are a number of additional factors and actions available to the Company to address any liquidity needs, including the following:</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obligations or agreements containing “maintenance type” financial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working capital of approximately $19.3 million as of April 30, 2024, including cash of approximately $924,000.</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revenues be less than projected, the Company believes it is able, and has plans, to reduce costs proportionately in order to maintain positive cash flow.</w:t>
      </w:r>
    </w:p>
    <w:p>
      <w:pPr>
        <w:spacing w:after="0" w:line="161" w:lineRule="exact"/>
        <w:rPr>
          <w:rFonts w:ascii="Times New Roman" w:cs="Times New Roman" w:eastAsia="Times New Roman" w:hAnsi="Times New Roman"/>
          <w:sz w:val="18"/>
          <w:szCs w:val="18"/>
          <w:color w:val="auto"/>
        </w:rPr>
      </w:pPr>
    </w:p>
    <w:p>
      <w:pPr>
        <w:jc w:val="both"/>
        <w:ind w:left="980" w:right="24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Company’s costs are variable in nature, such as raw materials and personnel related costs. In fiscal 2024, the Company eliminated two executive level positions, and additional reductions in operations, sales, and general and administrative headcount could be made, if deemed necessary by management.</w:t>
      </w:r>
    </w:p>
    <w:p>
      <w:pPr>
        <w:spacing w:after="0" w:line="17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backlog of orders related to the Seamap segment of approximately $31.0 million as of April 30, 2024, production for certain of these orders was in process and included in inventory as of April 30, 2024, thereby reducing the liquidity needed to complete the orders.</w:t>
      </w:r>
    </w:p>
    <w:p>
      <w:pPr>
        <w:spacing w:after="0" w:line="175" w:lineRule="exact"/>
        <w:rPr>
          <w:rFonts w:ascii="Times New Roman" w:cs="Times New Roman" w:eastAsia="Times New Roman" w:hAnsi="Times New Roman"/>
          <w:sz w:val="18"/>
          <w:szCs w:val="18"/>
          <w:color w:val="auto"/>
        </w:rPr>
      </w:pPr>
    </w:p>
    <w:p>
      <w:pPr>
        <w:ind w:left="980" w:hanging="324"/>
        <w:spacing w:after="0" w:line="253"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deferred payment of the quarterly dividend on its Series A Preferred Stock for seven fiscal quarters, including the first quarter of fiscal 2025. The Company also has the option to defer future quarterly dividend payments if deemed necessary. The dividends are a cumulative dividend that accrue for payment in the future. During a deferral period, the Company is prohibited from paying dividends or distributions on its common stock or redeeming any of those shares. The Company has commenced the solicitation of proxies to approve an amendment to the Certificate of Designations, Preferences and Rights of its Series A Cumulative Preferred Stock to provide that, at the discretion of its Board of Directors at any time prior to July 31, 2024, each share of Series A Preferred Stock shall be converted into 3.9 shares of Common Stock upon the effective time of the Amendment. Holders of Series A Preferred Stock as of the record date of April 26, 2024 are entitled to vote at a Virtual Special Meeting of Preferred Stockholders to be held on June 13, 2024. The affirmative vote of two-thirds (66 2/3%) of the outstanding shares of Series A Preferred Stock is required for approval of the Preferred Stock Proposal. Holders of Common Stock are not entitled to vote at the Special Meeting.</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the Company has raised capital through the sale of Common Stock and Preferred Stock pursuant to the at-the-market program (the "ATM Offering Program") and underwritten offerings on Form S-1. Currently, the Company is not eligible to issue securities pursuant to Form S-3 and accordingly cannot sell securities pursuant to the ATM Offering Program. However, the Company may sell securities pursuant to Form S-1 or in private transactions. Management expects to be able to raise further capital through these available means should the need arise.</w:t>
      </w:r>
    </w:p>
    <w:p>
      <w:pPr>
        <w:spacing w:after="0" w:line="183"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unencumbered real estate near Huntsville, Texas which could be used to generate capital if needed through a mortgage or sale lease transaction. The Company demonstrated its ability to do this through a secured lending transaction in early fiscal 2024, which was repaid from the proceeds from the sale of Klein. The appraised value of this property is approximately $5.0 million.</w:t>
      </w:r>
    </w:p>
    <w:p>
      <w:pPr>
        <w:spacing w:after="0" w:line="392"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Due to the rising level of sales and production activities there are increasing requirements for purchases of inventory and other production costs. Additionally, due to component shortages and long-lead times for certain items there are requirements in some cases to purchase items well in advance. Furthermore, some suppliers require prepayments in order to secure some items. All of these factors combine to increase the Company’s working capital requirements. Furthermore, Management believes there are opportunities to increase production capacity and efficiencies. However, some of these opportunities may require additional investments such as in production equipment or other fixed assets. If we are unable to meet suppliers' demands, we may not be able to produce products and fulfill orders from our customers.</w:t>
      </w:r>
    </w:p>
    <w:p>
      <w:pPr>
        <w:spacing w:after="0" w:line="187"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In order to fund future growth, we may explore sources of additional capital. Such sources include private or public issues of equity or debt securities, or a combination of such securities. Other sources could include secured debt financing, the sale of assets or investment from strategic industry participants.</w:t>
      </w:r>
    </w:p>
    <w:p>
      <w:pPr>
        <w:spacing w:after="0" w:line="176"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The Company has deferred payment of quarterly dividends for seven fiscal quarters including the first quarter of fiscal 2025. Accumulated and undeclared dividends amount to approximately $6.6 million as of April 30, 2024. Management does not believe that current operations can simultaneously fund the capital requirements of the ongoing business, as discussed above, as well as ongoing or accumulated dividends related to the Preferred Stock. Accordingly, although no firm decisions have been made, management currently believes it is unlikely that the Company will declare dividends on the Preferred Stock for the foreseeable future.</w:t>
      </w:r>
    </w:p>
    <w:p>
      <w:pPr>
        <w:sectPr>
          <w:pgSz w:w="11900" w:h="16838" w:orient="portrait"/>
          <w:cols w:equalWidth="0" w:num="1">
            <w:col w:w="11200"/>
          </w:cols>
          <w:pgMar w:left="320" w:top="121" w:right="37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historical information regarding cash flows from our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 on cash and cash equivalents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bl>
    <w:p>
      <w:pPr>
        <w:spacing w:after="0" w:line="198" w:lineRule="exact"/>
        <w:rPr>
          <w:sz w:val="20"/>
          <w:szCs w:val="20"/>
          <w:color w:val="auto"/>
        </w:rPr>
      </w:pPr>
    </w:p>
    <w:p>
      <w:pPr>
        <w:ind w:right="320" w:firstLine="450"/>
        <w:spacing w:after="0" w:line="312" w:lineRule="auto"/>
        <w:rPr>
          <w:sz w:val="20"/>
          <w:szCs w:val="20"/>
          <w:color w:val="auto"/>
        </w:rPr>
      </w:pPr>
      <w:r>
        <w:rPr>
          <w:rFonts w:ascii="Times New Roman" w:cs="Times New Roman" w:eastAsia="Times New Roman" w:hAnsi="Times New Roman"/>
          <w:sz w:val="17"/>
          <w:szCs w:val="17"/>
          <w:color w:val="auto"/>
        </w:rPr>
        <w:t>As of April 30, 2024, we had working capital of approximately $19.3 million, including cash and cash equivalents of approximately $924,000, as compared to working capital of approximately $18.1 million, including cash and cash equivalents of approximately $5.3 million, at January 31, 2024.</w:t>
      </w:r>
    </w:p>
    <w:p>
      <w:pPr>
        <w:spacing w:after="0" w:line="138" w:lineRule="exact"/>
        <w:rPr>
          <w:sz w:val="20"/>
          <w:szCs w:val="20"/>
          <w:color w:val="auto"/>
        </w:rPr>
      </w:pPr>
    </w:p>
    <w:p>
      <w:pPr>
        <w:ind w:right="3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Net cash used in operating activities was approximately $4.8 million in the first three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approximately $3.0 million in the first three months of fiscal 2024. The increase in net cash used in operating activities in the first three months of fiscal 2025 compared to the prior year period was due mainly to an increase in accounts receivable and inventories.</w:t>
      </w:r>
    </w:p>
    <w:p>
      <w:pPr>
        <w:spacing w:after="0" w:line="173"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Cash provided by investing activities during the first three months of fiscal 2025 increased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$310,000 over the same period in fiscal 2024. The increase relates primarily to sales of other equipment.</w:t>
      </w:r>
    </w:p>
    <w:p>
      <w:pPr>
        <w:spacing w:after="0" w:line="158" w:lineRule="exact"/>
        <w:rPr>
          <w:sz w:val="20"/>
          <w:szCs w:val="20"/>
          <w:color w:val="auto"/>
        </w:rPr>
      </w:pPr>
    </w:p>
    <w:p>
      <w:pPr>
        <w:ind w:right="9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Net cash provided by financing activities during the first three months of fiscal 2024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$2.9 million of net proceeds related to short-term loans (see Note 10 - "Notes Payable" for additional details).</w:t>
      </w:r>
    </w:p>
    <w:p>
      <w:pPr>
        <w:spacing w:after="0" w:line="160"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have determined that the undistributed earnings of foreign subsidiaries are not deemed indefinitely reinvested outside of the United States as of April 30, 2024. Furthermore, we have concluded that any deferred taxes with respect to the undistributed foreign earnings would be immaterial.</w:t>
      </w:r>
    </w:p>
    <w:p>
      <w:pPr>
        <w:spacing w:after="0" w:line="162"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As of April 30, 2024, we had deposits in foreign banks equal to approximately $710,000, all of which we believe could be distributed to the United States without adverse tax consequences. However, in certain cases the transfer of these funds may result in withholding taxes payable to foreign taxing authorities. If withholding taxes should become payable, we believe the amount of tax withheld would be immaterial.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Information regarding our critical accounting estimates is included in Part II, Item 7 “Management’s Discussion and Analysis of Financial Condition and Results of Operations” in our Annual Report on Form 10-K for the year ended January 31, 2024. There have been no material changes to our critical accounting estimates during the three-month period ended April 30,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are exposed to market risk, which is the potential loss arising from adverse changes in market prices and rates. We have not entered, and do not intend to enter, into derivative financial instruments for hedging or speculative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operate in several foreign locations, which gives rise to risk from changes in foreign currency exchange rates. To the extent possible, we attempt to denominate our transactions in foreign locations in U.S. dollars. For those cases in which transactions are not denominated in U.S. dollars, we are exposed to risk from changes in exchange rates to the extent that non-U.S. dollar revenues exceed non-U.S. dollar expenses related to those transactions. Our non-U.S. dollar transactions are denominated primarily in British pounds, Singapore dollars and European Union euros. As a result of these transactions, we generally hold cash balances that are denominated in these foreign currencies. At April 30, 2024, our consolidated cash and cash equivalents included foreign currency denominated amounts equivalent to approximately $390,000 in U.S. dollars. A 10% increase in the U.S. dollar as compared to each of these currencies would result in a loss of approximately $39,000 in the U.S. dollar value of these deposits, while a 10% decrease would result in an equal amount of gain. We do not currently hold or issue foreign exchange contracts or other derivative instruments to hedge these exposures.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30, 2024, we had no debt.</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officers and principal financial officer, the effectiveness of the design and operation of our disclosure controls and procedures (as defined in Rules 13a-15(e) and 15d-15(e) under the Exchange Act) as of the end of the period covered by this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officers and principal financial officer, as appropriate, to allow timely decisions regarding required disclosure and is recorded, processed, summarized and reported within the time periods specified in the rules and forms of the SEC. Our principal executive officer and principal financial officer have concluded that our current disclosure controls and procedures were not effective as of April 30, 2024, due to a material weakness in our internal control over financial reporting relating to the existence of inventory that was disclosed in our Annual Report on Form 10-K for the fiscal year ended January 31, 2024.</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Remediation</w:t>
      </w:r>
    </w:p>
    <w:p>
      <w:pPr>
        <w:spacing w:after="0" w:line="22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As previously described in Part II, Item 9A, "Controls and Procedures" of our Annual Report on Form 10-K for the fiscal year ended January 31, 2024, we are implementing a remediation plan to address the material weakness in our internal controls over the existence of inventory. The weakness will remain unresolved until the applicable controls operate for a sufficient period of time and management has concluded, through testing, that these controls are operating effectively.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Other than changes in connection with the remediation plan discussed above, there was no change in our system of internal control over financial reporting (as defined in Rules 13a-15(f) and 15d-15(f) under the Exchange Act) during the quarter ended April 30, 2024, that has materially affected, or is reasonably likely to materially affect, our internal control over financial reporting.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500" w:firstLine="45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legal proceedings arising in the ordinary course of business. We are not currently a party to any legal proceedings, individually or collectively, that we believe could have a material adverse effect on our results of operations or financial condition or is otherwise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elsewhere in this Form 10-Q, you should carefully consider the risks discussed in our Annual Report on Form 10-K for the year ended January 31, 2024, which risks could materially affect our business, financial condition or future results. There have been no material changes in our risk factors from those described in our Annual Report on Form 10-K for the year ended January 31, 2024. The risks described in our Annual Report on Form 10-K for the year ended January 31, 2024, are not the only risks the Company faces. Additional risks and uncertainties not currently known to us or that we currently deem to be immaterial may also materially adversely affect our business, financial condition, or future results.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80"/>
          </w:cols>
          <w:pgMar w:left="320" w:top="121" w:right="39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exhibits marked with the cross symbol (†) are filed (or furnished in the case of Exhibit 32.1) with this Form 10-Q.</w:t>
      </w:r>
    </w:p>
    <w:p>
      <w:pPr>
        <w:sectPr>
          <w:pgSz w:w="11900" w:h="16838" w:orient="portrait"/>
          <w:cols w:equalWidth="0" w:num="1">
            <w:col w:w="11240"/>
          </w:cols>
          <w:pgMar w:left="320" w:top="121" w:right="339" w:bottom="326" w:gutter="0" w:footer="0" w:header="0"/>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18"/>
          </w:tcPr>
          <w:p>
            <w:pPr>
              <w:ind w:left="1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38"/>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4"/>
                <w:szCs w:val="14"/>
                <w:color w:val="auto"/>
              </w:rPr>
            </w:pPr>
          </w:p>
        </w:tc>
        <w:tc>
          <w:tcPr>
            <w:tcW w:w="428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Agreement and Plan of Merger dated as of August 3, 2020,</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by and between Mitcham Industries, Inc. and MIND</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r:id="rId40">
              <w:r>
                <w:rPr>
                  <w:rFonts w:ascii="Times New Roman" w:cs="Times New Roman" w:eastAsia="Times New Roman" w:hAnsi="Times New Roman"/>
                  <w:sz w:val="18"/>
                  <w:szCs w:val="18"/>
                  <w:color w:val="0000EE"/>
                  <w:w w:val="94"/>
                </w:rPr>
                <w:t>Technology, Inc.</w:t>
              </w:r>
            </w:hyperlink>
          </w:p>
        </w:tc>
        <w:tc>
          <w:tcPr>
            <w:tcW w:w="31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3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Certificate of Incorporation of</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gridSpan w:val="2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MIND Technology, Inc.</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4360" w:type="dxa"/>
            <w:vAlign w:val="bottom"/>
            <w:gridSpan w:val="21"/>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of Certificate of Incorporation of</w:t>
              </w:r>
            </w:hyperlink>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360" w:type="dxa"/>
            <w:vAlign w:val="bottom"/>
            <w:gridSpan w:val="21"/>
            <w:vMerge w:val="restart"/>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MIND Technology, Inc., effective as of October 12, 2023</w:t>
              </w:r>
              <w:r>
                <w:rPr>
                  <w:rFonts w:ascii="Times New Roman" w:cs="Times New Roman" w:eastAsia="Times New Roman" w:hAnsi="Times New Roman"/>
                  <w:sz w:val="18"/>
                  <w:szCs w:val="18"/>
                  <w:u w:val="single" w:color="auto"/>
                  <w:color w:val="000000"/>
                </w:rPr>
                <w:t>.</w:t>
              </w:r>
            </w:hyperlink>
          </w:p>
        </w:tc>
        <w:tc>
          <w:tcPr>
            <w:tcW w:w="0" w:type="dxa"/>
            <w:vAlign w:val="bottom"/>
          </w:tcPr>
          <w:p>
            <w:pPr>
              <w:spacing w:after="0"/>
              <w:rPr>
                <w:sz w:val="1"/>
                <w:szCs w:val="1"/>
                <w:color w:val="auto"/>
              </w:rPr>
            </w:pPr>
          </w:p>
        </w:tc>
      </w:tr>
      <w:tr>
        <w:trPr>
          <w:trHeight w:val="67"/>
        </w:trPr>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36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4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Amended and Restated Bylaws of MIND Technology, Inc.</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4360" w:type="dxa"/>
            <w:vAlign w:val="bottom"/>
            <w:gridSpan w:val="21"/>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Designations, Preferences and Rights of</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MIND Technology, Inc. 9.00% Series A Cumulative</w:t>
              </w:r>
            </w:hyperlink>
          </w:p>
        </w:tc>
        <w:tc>
          <w:tcPr>
            <w:tcW w:w="100" w:type="dxa"/>
            <w:vAlign w:val="bottom"/>
            <w:tcBorders>
              <w:top w:val="single" w:sz="8" w:color="0000EE"/>
            </w:tcBorders>
            <w:gridSpan w:val="2"/>
          </w:tcPr>
          <w:p>
            <w:pPr>
              <w:spacing w:after="0"/>
              <w:rPr>
                <w:sz w:val="17"/>
                <w:szCs w:val="17"/>
                <w:color w:val="auto"/>
              </w:rPr>
            </w:pPr>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gridSpan w:val="2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Preferred Stock</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4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Certificate of Amendment of Certificate of Designations,</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Preferences and Rights of MIND Technology, Inc. 9.00%</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gridSpan w:val="21"/>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Series A Cumulative Preferred Stock</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3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Second Certificate of Amendment of Certificate of</w:t>
              </w:r>
            </w:hyperlink>
          </w:p>
        </w:tc>
        <w:tc>
          <w:tcPr>
            <w:tcW w:w="7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Designations, Preferences and Rights of MIND Technology,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Inc. 9.00% Series A Cumulative Preferred Stock</w:t>
              </w:r>
            </w:hyperlink>
          </w:p>
        </w:tc>
        <w:tc>
          <w:tcPr>
            <w:tcW w:w="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4360" w:type="dxa"/>
            <w:vAlign w:val="bottom"/>
            <w:gridSpan w:val="21"/>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Third Certificate of Amendment of Certificate of</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Designations, Preferences and Rights of MIND Technology,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Inc. 9.00% Series A Cumulative Preferred Stock</w:t>
              </w:r>
            </w:hyperlink>
          </w:p>
        </w:tc>
        <w:tc>
          <w:tcPr>
            <w:tcW w:w="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gridSpan w:val="2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Fourth Certificate of Amendment of Certificate of</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w:t>
            </w:r>
          </w:p>
        </w:tc>
        <w:tc>
          <w:tcPr>
            <w:tcW w:w="140" w:type="dxa"/>
            <w:vAlign w:val="bottom"/>
          </w:tcPr>
          <w:p>
            <w:pPr>
              <w:spacing w:after="0"/>
              <w:rPr>
                <w:sz w:val="17"/>
                <w:szCs w:val="17"/>
                <w:color w:val="auto"/>
              </w:rPr>
            </w:pPr>
          </w:p>
        </w:tc>
        <w:tc>
          <w:tcPr>
            <w:tcW w:w="4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Designations, Preferences and Rights of MIND Technology,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Inc. 9.00% Series A Cumulative Preferred Stock</w:t>
              </w:r>
            </w:hyperlink>
          </w:p>
        </w:tc>
        <w:tc>
          <w:tcPr>
            <w:tcW w:w="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40" w:type="dxa"/>
            <w:vAlign w:val="bottom"/>
          </w:tcPr>
          <w:p>
            <w:pPr>
              <w:spacing w:after="0"/>
              <w:rPr>
                <w:sz w:val="24"/>
                <w:szCs w:val="24"/>
                <w:color w:val="auto"/>
              </w:rPr>
            </w:pPr>
          </w:p>
        </w:tc>
        <w:tc>
          <w:tcPr>
            <w:tcW w:w="4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Texas Certificate of Merger, effective as of August 3, 2020</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4"/>
                <w:szCs w:val="24"/>
                <w:color w:val="auto"/>
              </w:rPr>
            </w:pPr>
          </w:p>
        </w:tc>
        <w:tc>
          <w:tcPr>
            <w:tcW w:w="4360" w:type="dxa"/>
            <w:vAlign w:val="bottom"/>
            <w:gridSpan w:val="21"/>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Delaware Certificate of Merger, effective as of August 3,</w:t>
              </w:r>
            </w:hyperlink>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60" w:type="dxa"/>
            <w:vAlign w:val="bottom"/>
            <w:vMerge w:val="continue"/>
          </w:tcPr>
          <w:p>
            <w:pPr>
              <w:spacing w:after="0"/>
              <w:rPr>
                <w:sz w:val="11"/>
                <w:szCs w:val="11"/>
                <w:color w:val="auto"/>
              </w:rPr>
            </w:pPr>
          </w:p>
        </w:tc>
        <w:tc>
          <w:tcPr>
            <w:tcW w:w="480" w:type="dxa"/>
            <w:vAlign w:val="bottom"/>
            <w:gridSpan w:val="2"/>
            <w:vMerge w:val="restart"/>
          </w:tcPr>
          <w:p>
            <w:pPr>
              <w:ind w:left="120"/>
              <w:spacing w:after="0" w:line="196" w:lineRule="exact"/>
              <w:rPr>
                <w:rFonts w:ascii="Times New Roman" w:cs="Times New Roman" w:eastAsia="Times New Roman" w:hAnsi="Times New Roman"/>
                <w:sz w:val="18"/>
                <w:szCs w:val="18"/>
                <w:color w:val="0000EE"/>
                <w:w w:val="94"/>
              </w:rPr>
            </w:pPr>
            <w:hyperlink r:id="rId50">
              <w:r>
                <w:rPr>
                  <w:rFonts w:ascii="Times New Roman" w:cs="Times New Roman" w:eastAsia="Times New Roman" w:hAnsi="Times New Roman"/>
                  <w:sz w:val="18"/>
                  <w:szCs w:val="18"/>
                  <w:color w:val="0000EE"/>
                  <w:w w:val="94"/>
                </w:rPr>
                <w:t>2020</w:t>
              </w:r>
            </w:hyperlink>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24"/>
                <w:szCs w:val="24"/>
                <w:color w:val="auto"/>
              </w:rPr>
            </w:pPr>
          </w:p>
        </w:tc>
        <w:tc>
          <w:tcPr>
            <w:tcW w:w="41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Certification of Robert P. Capps, Chief Executive Officer,</w:t>
            </w:r>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Rule 13a-14(a) and Rule 15d-14(a) of the</w:t>
            </w:r>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as amended</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27774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October 13, 2023.</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filed with the SEC on September 25, 2020.</w:t>
      </w: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Registration Statement on Form S-1 filed with the SEC on October 25,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filed with the SEC on November 4,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filed with the SEC on October 13, 2023.</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ind w:right="60"/>
        <w:spacing w:after="0" w:line="26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u w:val="single" w:color="auto"/>
          <w:color w:val="auto"/>
        </w:rPr>
        <w:t>Reference</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2.1</w:t>
      </w:r>
    </w:p>
    <w:p>
      <w:pPr>
        <w:spacing w:after="0" w:line="3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3.4</w:t>
      </w:r>
    </w:p>
    <w:p>
      <w:pPr>
        <w:spacing w:after="0" w:line="3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3.2</w:t>
      </w:r>
    </w:p>
    <w:p>
      <w:pPr>
        <w:spacing w:after="0" w:line="1172" w:lineRule="exact"/>
        <w:rPr>
          <w:sz w:val="20"/>
          <w:szCs w:val="20"/>
          <w:color w:val="auto"/>
        </w:rPr>
      </w:pPr>
    </w:p>
    <w:p>
      <w:pPr>
        <w:sectPr>
          <w:pgSz w:w="11900" w:h="16838" w:orient="portrait"/>
          <w:cols w:equalWidth="0" w:num="3">
            <w:col w:w="5860" w:space="120"/>
            <w:col w:w="4340" w:space="140"/>
            <w:col w:w="780"/>
          </w:cols>
          <w:pgMar w:left="320" w:top="121" w:right="339" w:bottom="326" w:gutter="0" w:footer="0" w:header="0"/>
          <w:type w:val="continuous"/>
        </w:sectPr>
      </w:pPr>
    </w:p>
    <w:p>
      <w:pPr>
        <w:spacing w:after="0" w:line="1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31.2†</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Mark A. Cox, Chief Financial Officer,</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and Rule 15d-14(a) of the</w:t>
            </w:r>
          </w:p>
        </w:tc>
        <w:tc>
          <w:tcPr>
            <w:tcW w:w="60" w:type="dxa"/>
            <w:vAlign w:val="bottom"/>
            <w:tcBorders>
              <w:top w:val="single" w:sz="8" w:color="0000EE"/>
            </w:tcBorders>
          </w:tcPr>
          <w:p>
            <w:pPr>
              <w:spacing w:after="0"/>
              <w:rPr>
                <w:sz w:val="17"/>
                <w:szCs w:val="17"/>
                <w:color w:val="auto"/>
              </w:rPr>
            </w:pP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as amended</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32.1†</w:t>
            </w:r>
          </w:p>
        </w:tc>
        <w:tc>
          <w:tcPr>
            <w:tcW w:w="4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Certification of Robert P. Capps, Chief Executive Officer,</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and Mark A. Cox, Chief Financial Officer, under</w:t>
            </w:r>
          </w:p>
        </w:tc>
        <w:tc>
          <w:tcPr>
            <w:tcW w:w="8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 Oxley Act of 2002, 18 U.S.C.</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 1350</w:t>
            </w:r>
          </w:p>
        </w:tc>
        <w:tc>
          <w:tcPr>
            <w:tcW w:w="22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101.INS†</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101.SCH†</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14"/>
        </w:trPr>
        <w:tc>
          <w:tcPr>
            <w:tcW w:w="11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101.CAL†</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of Linkbase</w:t>
            </w: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4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1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101.DEF†</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4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18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101.LAB†</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4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101.PRE†</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414"/>
        </w:trPr>
        <w:tc>
          <w:tcPr>
            <w:tcW w:w="1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326"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26"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MIND TECHNOLOGY,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2024</w:t>
            </w:r>
          </w:p>
        </w:tc>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Capps</w:t>
            </w:r>
          </w:p>
        </w:tc>
      </w:tr>
      <w:tr>
        <w:trPr>
          <w:trHeight w:val="191"/>
        </w:trPr>
        <w:tc>
          <w:tcPr>
            <w:tcW w:w="5480" w:type="dxa"/>
            <w:vAlign w:val="bottom"/>
          </w:tcPr>
          <w:p>
            <w:pPr>
              <w:spacing w:after="0"/>
              <w:rPr>
                <w:sz w:val="16"/>
                <w:szCs w:val="16"/>
                <w:color w:val="auto"/>
              </w:rPr>
            </w:pPr>
          </w:p>
        </w:tc>
        <w:tc>
          <w:tcPr>
            <w:tcW w:w="5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P. Capps</w:t>
            </w:r>
          </w:p>
        </w:tc>
      </w:tr>
      <w:tr>
        <w:trPr>
          <w:trHeight w:val="234"/>
        </w:trPr>
        <w:tc>
          <w:tcPr>
            <w:tcW w:w="54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4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32"/>
        </w:trPr>
        <w:tc>
          <w:tcPr>
            <w:tcW w:w="548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Capps,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have reviewed this quarterly report on Form 10-Q for the quarterly period ended April 30, 2024 of MIND Technology, Inc. (the “registrant”);</w:t>
      </w:r>
    </w:p>
    <w:p>
      <w:pPr>
        <w:spacing w:after="0" w:line="227" w:lineRule="exact"/>
        <w:rPr>
          <w:sz w:val="20"/>
          <w:szCs w:val="20"/>
          <w:color w:val="auto"/>
        </w:rPr>
      </w:pPr>
    </w:p>
    <w:p>
      <w:pPr>
        <w:ind w:right="2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00" w:firstLine="494"/>
        <w:spacing w:after="0" w:line="266"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0" w:firstLine="494"/>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494"/>
        <w:spacing w:after="0" w:line="266"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40" w:firstLine="494"/>
        <w:spacing w:after="0" w:line="282"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83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9837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Cox,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have reviewed this quarterly report on Form 10-Q for the quarterly period ended April 30, 2024 of MIND Technology, Inc. (the “registrant”);</w:t>
      </w:r>
    </w:p>
    <w:p>
      <w:pPr>
        <w:spacing w:after="0" w:line="227" w:lineRule="exact"/>
        <w:rPr>
          <w:sz w:val="20"/>
          <w:szCs w:val="20"/>
          <w:color w:val="auto"/>
        </w:rPr>
      </w:pPr>
    </w:p>
    <w:p>
      <w:pPr>
        <w:ind w:right="2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00" w:firstLine="494"/>
        <w:spacing w:after="0" w:line="266"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7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0" w:firstLine="494"/>
        <w:spacing w:after="0" w:line="282"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494"/>
        <w:spacing w:after="0" w:line="266" w:lineRule="auto"/>
        <w:tabs>
          <w:tab w:leader="none" w:pos="7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40" w:firstLine="494"/>
        <w:spacing w:after="0" w:line="282" w:lineRule="auto"/>
        <w:tabs>
          <w:tab w:leader="none" w:pos="7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42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Vice President of Finance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MIND Technology, Inc. (the “Company”) on Form 10-Q for the quarterly period ended April 30, 2024, as filed with the Securities and Exchange Commission on the date hereof (the “Report”), Robert P. Capps, Chief Executive Officer of the Company, and Mark A. Cox, Chief Financial Officer of the Company, each hereby certify, pursuant to 18 U.S.C. Section 1350, as adopted pursuant to Section 906 of the Sarbanes-Oxley Act of 2002, that, to his knowledge:</w:t>
      </w:r>
    </w:p>
    <w:p>
      <w:pPr>
        <w:spacing w:after="0" w:line="180" w:lineRule="exact"/>
        <w:rPr>
          <w:sz w:val="20"/>
          <w:szCs w:val="20"/>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69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869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42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Vice President of Finance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2"/>
    </w:lvl>
    <w:lvl w:ilvl="1">
      <w:lvlJc w:val="left"/>
      <w:lvlText w:val="(%2)"/>
      <w:numFmt w:val="lowerLetter"/>
      <w:start w:val="1"/>
    </w:lvl>
  </w:abstractNum>
  <w:abstractNum w:abstractNumId="12">
    <w:nsid w:val="109CF92E"/>
    <w:multiLevelType w:val="hybridMultilevel"/>
    <w:lvl w:ilvl="0">
      <w:lvlJc w:val="left"/>
      <w:lvlText w:val="%1."/>
      <w:numFmt w:val="decimal"/>
      <w:start w:val="2"/>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40" Type="http://schemas.openxmlformats.org/officeDocument/2006/relationships/hyperlink" Target="http://www.sec.gov/Archives/edgar/data/926423/000162828020012171/exhibit21-mindtechnolo.htm" TargetMode="External"/><Relationship Id="rId41" Type="http://schemas.openxmlformats.org/officeDocument/2006/relationships/hyperlink" Target="http://www.sec.gov/Archives/edgar/data/926423/000162828020012171/exhibit33-mindtechnolo.htm" TargetMode="External"/><Relationship Id="rId42" Type="http://schemas.openxmlformats.org/officeDocument/2006/relationships/hyperlink" Target="http://www.sec.gov/ix?doc=/Archives/edgar/data/0000926423/000143774923028177/mind20231010_8k.htm" TargetMode="External"/><Relationship Id="rId43" Type="http://schemas.openxmlformats.org/officeDocument/2006/relationships/hyperlink" Target="http://www.sec.gov/Archives/edgar/data/926423/000162828020012171/exhibit34-mindtechnolo.htm" TargetMode="External"/><Relationship Id="rId44" Type="http://schemas.openxmlformats.org/officeDocument/2006/relationships/hyperlink" Target="http://www.sec.gov/Archives/edgar/data/926423/000162828020012171/exhibit35-mindtechnolo.htm" TargetMode="External"/><Relationship Id="rId45" Type="http://schemas.openxmlformats.org/officeDocument/2006/relationships/hyperlink" Target="http://www.sec.gov/Archives/edgar/data/926423/000092642320000050/a31certificateofamendm.htm" TargetMode="External"/><Relationship Id="rId46" Type="http://schemas.openxmlformats.org/officeDocument/2006/relationships/hyperlink" Target="http://www.sec.gov/Archives/edgar/data/926423/000119312521306735/d235975dex35.htm" TargetMode="External"/><Relationship Id="rId47" Type="http://schemas.openxmlformats.org/officeDocument/2006/relationships/hyperlink" Target="http://www.sec.gov/Archives/edgar/data/926423/000143774921025327/ex_302726.htm" TargetMode="External"/><Relationship Id="rId48" Type="http://schemas.openxmlformats.org/officeDocument/2006/relationships/hyperlink" Target="http://www.sec.gov/ix?doc=/Archives/edgar/data/0000926423/000143774923028215/mind20231013_8ka.htm" TargetMode="External"/><Relationship Id="rId49" Type="http://schemas.openxmlformats.org/officeDocument/2006/relationships/hyperlink" Target="http://www.sec.gov/Archives/edgar/data/926423/000162828020012171/exhibit31-mindtechnolo.htm" TargetMode="External"/><Relationship Id="rId50" Type="http://schemas.openxmlformats.org/officeDocument/2006/relationships/hyperlink" Target="http://www.sec.gov/Archives/edgar/data/926423/000162828020012171/exhibit32-mindtechno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2024-06-11T15:21:50Z</dcterms:created>
  <dcterms:modified xsi:type="dcterms:W3CDTF">2024-06-11T15:21:50Z</dcterms:modified>
</cp:coreProperties>
</file>